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3634" w14:textId="4E87C6F1" w:rsidR="00C51D88" w:rsidRPr="00C51D88" w:rsidRDefault="00C51D88" w:rsidP="00C51D88">
      <w:pPr>
        <w:pStyle w:val="Title"/>
        <w:pBdr>
          <w:bottom w:val="single" w:sz="8" w:space="31" w:color="4F81BD" w:themeColor="accent1"/>
        </w:pBdr>
        <w:rPr>
          <w:rFonts w:ascii="Calibri" w:eastAsiaTheme="minorHAnsi" w:hAnsi="Calibri" w:cstheme="minorBidi"/>
          <w:bCs/>
          <w:color w:val="auto"/>
          <w:spacing w:val="0"/>
          <w:kern w:val="0"/>
          <w:sz w:val="24"/>
          <w:szCs w:val="24"/>
          <w:lang w:val="en-GB"/>
        </w:rPr>
      </w:pPr>
      <w:bookmarkStart w:id="0" w:name="_GoBack"/>
      <w:bookmarkEnd w:id="0"/>
      <w:r w:rsidRPr="00C51D88">
        <w:rPr>
          <w:rFonts w:ascii="Calibri" w:eastAsiaTheme="minorHAnsi" w:hAnsi="Calibri" w:cstheme="minorBidi"/>
          <w:bCs/>
          <w:color w:val="auto"/>
          <w:spacing w:val="0"/>
          <w:kern w:val="0"/>
          <w:sz w:val="24"/>
          <w:szCs w:val="24"/>
          <w:lang w:val="en-GB"/>
        </w:rPr>
        <w:t>This is the version of the article/chapter accepted for publication in Journal of Environmental Management published by Elsevier. Accepted version downloaded from SOAS Research Online: http://eprints.soas.ac.uk/</w:t>
      </w:r>
    </w:p>
    <w:p w14:paraId="16CE2942" w14:textId="77777777" w:rsidR="00C51D88" w:rsidRDefault="00C51D88" w:rsidP="0019256E">
      <w:pPr>
        <w:pStyle w:val="Title"/>
        <w:pBdr>
          <w:bottom w:val="none" w:sz="0" w:space="0" w:color="auto"/>
        </w:pBdr>
        <w:rPr>
          <w:rFonts w:ascii="Calibri" w:eastAsiaTheme="minorHAnsi" w:hAnsi="Calibri" w:cstheme="minorBidi"/>
          <w:b/>
          <w:color w:val="auto"/>
          <w:spacing w:val="0"/>
          <w:kern w:val="0"/>
          <w:sz w:val="24"/>
          <w:szCs w:val="24"/>
          <w:lang w:val="en-GB"/>
        </w:rPr>
      </w:pPr>
    </w:p>
    <w:p w14:paraId="38C8D0FA" w14:textId="70CB38AA" w:rsidR="00092D05" w:rsidRPr="00D961B9" w:rsidRDefault="003D183F" w:rsidP="0019256E">
      <w:pPr>
        <w:pStyle w:val="Title"/>
        <w:pBdr>
          <w:bottom w:val="none" w:sz="0" w:space="0" w:color="auto"/>
        </w:pBdr>
        <w:rPr>
          <w:rFonts w:ascii="Calibri" w:eastAsiaTheme="minorHAnsi" w:hAnsi="Calibri" w:cstheme="minorBidi"/>
          <w:b/>
          <w:color w:val="auto"/>
          <w:spacing w:val="0"/>
          <w:kern w:val="0"/>
          <w:sz w:val="24"/>
          <w:szCs w:val="24"/>
          <w:lang w:val="en-GB"/>
        </w:rPr>
      </w:pPr>
      <w:r w:rsidRPr="00D961B9">
        <w:rPr>
          <w:rFonts w:ascii="Calibri" w:eastAsiaTheme="minorHAnsi" w:hAnsi="Calibri" w:cstheme="minorBidi"/>
          <w:b/>
          <w:color w:val="auto"/>
          <w:spacing w:val="0"/>
          <w:kern w:val="0"/>
          <w:sz w:val="24"/>
          <w:szCs w:val="24"/>
          <w:lang w:val="en-GB"/>
        </w:rPr>
        <w:t>M</w:t>
      </w:r>
      <w:r w:rsidR="004C1E1B" w:rsidRPr="00D961B9">
        <w:rPr>
          <w:rFonts w:ascii="Calibri" w:eastAsiaTheme="minorHAnsi" w:hAnsi="Calibri" w:cstheme="minorBidi"/>
          <w:b/>
          <w:color w:val="auto"/>
          <w:spacing w:val="0"/>
          <w:kern w:val="0"/>
          <w:sz w:val="24"/>
          <w:szCs w:val="24"/>
          <w:lang w:val="en-GB"/>
        </w:rPr>
        <w:t>ining and biodiversity</w:t>
      </w:r>
      <w:r w:rsidRPr="00D961B9">
        <w:rPr>
          <w:rFonts w:ascii="Calibri" w:eastAsiaTheme="minorHAnsi" w:hAnsi="Calibri" w:cstheme="minorBidi"/>
          <w:b/>
          <w:color w:val="auto"/>
          <w:spacing w:val="0"/>
          <w:kern w:val="0"/>
          <w:sz w:val="24"/>
          <w:szCs w:val="24"/>
          <w:lang w:val="en-GB"/>
        </w:rPr>
        <w:t xml:space="preserve"> offsets</w:t>
      </w:r>
      <w:r w:rsidR="0019256E" w:rsidRPr="00D961B9">
        <w:rPr>
          <w:rFonts w:ascii="Calibri" w:eastAsiaTheme="minorHAnsi" w:hAnsi="Calibri" w:cstheme="minorBidi"/>
          <w:b/>
          <w:color w:val="auto"/>
          <w:spacing w:val="0"/>
          <w:kern w:val="0"/>
          <w:sz w:val="24"/>
          <w:szCs w:val="24"/>
          <w:lang w:val="en-GB"/>
        </w:rPr>
        <w:t xml:space="preserve">: </w:t>
      </w:r>
      <w:r w:rsidR="00E41AAD" w:rsidRPr="00D961B9">
        <w:rPr>
          <w:rFonts w:ascii="Calibri" w:eastAsiaTheme="minorHAnsi" w:hAnsi="Calibri" w:cstheme="minorBidi"/>
          <w:b/>
          <w:color w:val="auto"/>
          <w:spacing w:val="0"/>
          <w:kern w:val="0"/>
          <w:sz w:val="24"/>
          <w:szCs w:val="24"/>
          <w:lang w:val="en-GB"/>
        </w:rPr>
        <w:t>A</w:t>
      </w:r>
      <w:r w:rsidR="001D1511" w:rsidRPr="00D961B9">
        <w:rPr>
          <w:rFonts w:ascii="Calibri" w:eastAsiaTheme="minorHAnsi" w:hAnsi="Calibri" w:cstheme="minorBidi"/>
          <w:b/>
          <w:color w:val="auto"/>
          <w:spacing w:val="0"/>
          <w:kern w:val="0"/>
          <w:sz w:val="24"/>
          <w:szCs w:val="24"/>
          <w:lang w:val="en-GB"/>
        </w:rPr>
        <w:t xml:space="preserve"> transparent and science-based approach to measure </w:t>
      </w:r>
      <w:r w:rsidR="00D65DE2" w:rsidRPr="00D961B9">
        <w:rPr>
          <w:rFonts w:ascii="Calibri" w:eastAsiaTheme="minorHAnsi" w:hAnsi="Calibri" w:cstheme="minorBidi"/>
          <w:b/>
          <w:color w:val="auto"/>
          <w:spacing w:val="0"/>
          <w:kern w:val="0"/>
          <w:sz w:val="24"/>
          <w:szCs w:val="24"/>
          <w:lang w:val="en-GB"/>
        </w:rPr>
        <w:t>“no-net-</w:t>
      </w:r>
      <w:r w:rsidRPr="00D961B9">
        <w:rPr>
          <w:rFonts w:ascii="Calibri" w:eastAsiaTheme="minorHAnsi" w:hAnsi="Calibri" w:cstheme="minorBidi"/>
          <w:b/>
          <w:color w:val="auto"/>
          <w:spacing w:val="0"/>
          <w:kern w:val="0"/>
          <w:sz w:val="24"/>
          <w:szCs w:val="24"/>
          <w:lang w:val="en-GB"/>
        </w:rPr>
        <w:t xml:space="preserve">loss” </w:t>
      </w:r>
    </w:p>
    <w:p w14:paraId="0B05D593" w14:textId="77777777" w:rsidR="002D37E7" w:rsidRPr="00D961B9" w:rsidRDefault="002D37E7" w:rsidP="002D37E7">
      <w:pPr>
        <w:spacing w:line="240" w:lineRule="auto"/>
        <w:rPr>
          <w:sz w:val="24"/>
          <w:szCs w:val="24"/>
          <w:vertAlign w:val="superscript"/>
          <w:lang w:val="en-GB"/>
        </w:rPr>
      </w:pPr>
      <w:proofErr w:type="spellStart"/>
      <w:r w:rsidRPr="00D961B9">
        <w:rPr>
          <w:sz w:val="24"/>
          <w:szCs w:val="24"/>
          <w:lang w:val="en-GB"/>
        </w:rPr>
        <w:t>Malika</w:t>
      </w:r>
      <w:proofErr w:type="spellEnd"/>
      <w:r w:rsidRPr="00D961B9">
        <w:rPr>
          <w:sz w:val="24"/>
          <w:szCs w:val="24"/>
          <w:lang w:val="en-GB"/>
        </w:rPr>
        <w:t xml:space="preserve"> Virah-Sawmy</w:t>
      </w:r>
      <w:proofErr w:type="gramStart"/>
      <w:r w:rsidR="00E41AAD" w:rsidRPr="00D961B9">
        <w:rPr>
          <w:sz w:val="24"/>
          <w:szCs w:val="24"/>
          <w:lang w:val="en-GB"/>
        </w:rPr>
        <w:t>,</w:t>
      </w:r>
      <w:r w:rsidRPr="00D961B9">
        <w:rPr>
          <w:sz w:val="24"/>
          <w:szCs w:val="24"/>
          <w:vertAlign w:val="superscript"/>
          <w:lang w:val="en-GB"/>
        </w:rPr>
        <w:t>1,2</w:t>
      </w:r>
      <w:proofErr w:type="gramEnd"/>
      <w:r w:rsidRPr="00D961B9">
        <w:rPr>
          <w:sz w:val="24"/>
          <w:szCs w:val="24"/>
          <w:vertAlign w:val="superscript"/>
          <w:lang w:val="en-GB"/>
        </w:rPr>
        <w:t>*</w:t>
      </w:r>
      <w:r w:rsidRPr="00D961B9">
        <w:rPr>
          <w:sz w:val="24"/>
          <w:szCs w:val="24"/>
          <w:lang w:val="en-GB"/>
        </w:rPr>
        <w:t xml:space="preserve"> Johannes Ebeling</w:t>
      </w:r>
      <w:r w:rsidRPr="00D961B9">
        <w:rPr>
          <w:sz w:val="24"/>
          <w:szCs w:val="24"/>
          <w:vertAlign w:val="superscript"/>
          <w:lang w:val="en-GB"/>
        </w:rPr>
        <w:t>3</w:t>
      </w:r>
      <w:r w:rsidRPr="00D961B9">
        <w:rPr>
          <w:sz w:val="24"/>
          <w:szCs w:val="24"/>
          <w:lang w:val="en-GB"/>
        </w:rPr>
        <w:t xml:space="preserve"> and Roslyn Taplin</w:t>
      </w:r>
      <w:r w:rsidRPr="00D961B9">
        <w:rPr>
          <w:sz w:val="24"/>
          <w:szCs w:val="24"/>
          <w:vertAlign w:val="superscript"/>
          <w:lang w:val="en-GB"/>
        </w:rPr>
        <w:t>1</w:t>
      </w:r>
    </w:p>
    <w:p w14:paraId="79DF1834" w14:textId="2B02B6DF" w:rsidR="00423EC7" w:rsidRPr="00D961B9" w:rsidRDefault="002D37E7" w:rsidP="002D37E7">
      <w:pPr>
        <w:spacing w:line="240" w:lineRule="auto"/>
        <w:rPr>
          <w:sz w:val="24"/>
          <w:szCs w:val="24"/>
          <w:lang w:val="en-GB"/>
        </w:rPr>
      </w:pPr>
      <w:r w:rsidRPr="00D961B9">
        <w:rPr>
          <w:sz w:val="24"/>
          <w:szCs w:val="24"/>
          <w:lang w:val="en-GB"/>
        </w:rPr>
        <w:t>1-</w:t>
      </w:r>
      <w:r w:rsidR="00B16B40" w:rsidRPr="00D961B9">
        <w:rPr>
          <w:sz w:val="24"/>
          <w:szCs w:val="24"/>
          <w:lang w:val="en-GB"/>
        </w:rPr>
        <w:t xml:space="preserve">The </w:t>
      </w:r>
      <w:r w:rsidRPr="00D961B9">
        <w:rPr>
          <w:sz w:val="24"/>
          <w:szCs w:val="24"/>
          <w:lang w:val="en-GB"/>
        </w:rPr>
        <w:t>Australian Centre for Sustainable Mining Practices, School of Mining</w:t>
      </w:r>
      <w:r w:rsidR="00B16B40" w:rsidRPr="00D961B9">
        <w:rPr>
          <w:sz w:val="24"/>
          <w:szCs w:val="24"/>
          <w:lang w:val="en-GB"/>
        </w:rPr>
        <w:t xml:space="preserve"> Engineering</w:t>
      </w:r>
      <w:r w:rsidRPr="00D961B9">
        <w:rPr>
          <w:sz w:val="24"/>
          <w:szCs w:val="24"/>
          <w:lang w:val="en-GB"/>
        </w:rPr>
        <w:t xml:space="preserve">, </w:t>
      </w:r>
      <w:r w:rsidR="00B16B40" w:rsidRPr="00D961B9">
        <w:rPr>
          <w:sz w:val="24"/>
          <w:szCs w:val="24"/>
          <w:lang w:val="en-GB"/>
        </w:rPr>
        <w:t xml:space="preserve">The </w:t>
      </w:r>
      <w:r w:rsidRPr="00D961B9">
        <w:rPr>
          <w:sz w:val="24"/>
          <w:szCs w:val="24"/>
          <w:lang w:val="en-GB"/>
        </w:rPr>
        <w:t>University of New South Wales, Sydney</w:t>
      </w:r>
      <w:r w:rsidR="00B16B40" w:rsidRPr="00D961B9">
        <w:rPr>
          <w:sz w:val="24"/>
          <w:szCs w:val="24"/>
          <w:lang w:val="en-GB"/>
        </w:rPr>
        <w:t>,</w:t>
      </w:r>
      <w:r w:rsidR="00423EC7" w:rsidRPr="00D961B9">
        <w:rPr>
          <w:sz w:val="24"/>
          <w:szCs w:val="24"/>
          <w:lang w:val="en-GB"/>
        </w:rPr>
        <w:t xml:space="preserve"> </w:t>
      </w:r>
      <w:r w:rsidR="00B16B40" w:rsidRPr="00D961B9">
        <w:rPr>
          <w:sz w:val="24"/>
          <w:szCs w:val="24"/>
          <w:lang w:val="en-GB"/>
        </w:rPr>
        <w:t xml:space="preserve">NSW </w:t>
      </w:r>
      <w:r w:rsidR="00423EC7" w:rsidRPr="00D961B9">
        <w:rPr>
          <w:sz w:val="24"/>
          <w:szCs w:val="24"/>
          <w:lang w:val="en-GB"/>
        </w:rPr>
        <w:t>205</w:t>
      </w:r>
      <w:r w:rsidR="00B16B40" w:rsidRPr="00D961B9">
        <w:rPr>
          <w:sz w:val="24"/>
          <w:szCs w:val="24"/>
          <w:lang w:val="en-GB"/>
        </w:rPr>
        <w:t>2</w:t>
      </w:r>
      <w:r w:rsidR="00423EC7" w:rsidRPr="00D961B9">
        <w:rPr>
          <w:sz w:val="24"/>
          <w:szCs w:val="24"/>
          <w:lang w:val="en-GB"/>
        </w:rPr>
        <w:t>, Australia; Tel: +61(2)93855612; Email: malikavs@gmail.com or m.virahsawmy@unsw.edu.au</w:t>
      </w:r>
    </w:p>
    <w:p w14:paraId="7EB07EBE" w14:textId="6628713D" w:rsidR="00423EC7" w:rsidRPr="00D961B9" w:rsidRDefault="002D37E7" w:rsidP="00423EC7">
      <w:pPr>
        <w:spacing w:line="240" w:lineRule="auto"/>
        <w:rPr>
          <w:sz w:val="24"/>
          <w:szCs w:val="24"/>
          <w:lang w:val="en-GB"/>
        </w:rPr>
      </w:pPr>
      <w:r w:rsidRPr="00D961B9">
        <w:rPr>
          <w:sz w:val="24"/>
          <w:szCs w:val="24"/>
          <w:lang w:val="en-GB"/>
        </w:rPr>
        <w:t xml:space="preserve">2-Institute of Environmental Studies, School of Biological, Earth and Environmental Sciences, </w:t>
      </w:r>
      <w:r w:rsidR="00B16B40" w:rsidRPr="00D961B9">
        <w:rPr>
          <w:sz w:val="24"/>
          <w:szCs w:val="24"/>
          <w:lang w:val="en-GB"/>
        </w:rPr>
        <w:t xml:space="preserve">The </w:t>
      </w:r>
      <w:r w:rsidRPr="00D961B9">
        <w:rPr>
          <w:sz w:val="24"/>
          <w:szCs w:val="24"/>
          <w:lang w:val="en-GB"/>
        </w:rPr>
        <w:t xml:space="preserve">University of New South Wales, </w:t>
      </w:r>
      <w:r w:rsidR="00423EC7" w:rsidRPr="00D961B9">
        <w:rPr>
          <w:sz w:val="24"/>
          <w:szCs w:val="24"/>
          <w:lang w:val="en-GB"/>
        </w:rPr>
        <w:t>Sydney</w:t>
      </w:r>
      <w:r w:rsidR="00B16B40" w:rsidRPr="00D961B9">
        <w:rPr>
          <w:sz w:val="24"/>
          <w:szCs w:val="24"/>
          <w:lang w:val="en-GB"/>
        </w:rPr>
        <w:t>, NSW</w:t>
      </w:r>
      <w:r w:rsidR="00423EC7" w:rsidRPr="00D961B9">
        <w:rPr>
          <w:sz w:val="24"/>
          <w:szCs w:val="24"/>
          <w:lang w:val="en-GB"/>
        </w:rPr>
        <w:t xml:space="preserve"> 205</w:t>
      </w:r>
      <w:r w:rsidR="00B16B40" w:rsidRPr="00D961B9">
        <w:rPr>
          <w:sz w:val="24"/>
          <w:szCs w:val="24"/>
          <w:lang w:val="en-GB"/>
        </w:rPr>
        <w:t>2</w:t>
      </w:r>
      <w:r w:rsidR="00423EC7" w:rsidRPr="00D961B9">
        <w:rPr>
          <w:sz w:val="24"/>
          <w:szCs w:val="24"/>
          <w:lang w:val="en-GB"/>
        </w:rPr>
        <w:t>, Australia; Tel: +61(2)9385</w:t>
      </w:r>
      <w:r w:rsidR="00B16B40" w:rsidRPr="00D961B9">
        <w:rPr>
          <w:sz w:val="24"/>
          <w:szCs w:val="24"/>
          <w:lang w:val="en-GB"/>
        </w:rPr>
        <w:t>7946</w:t>
      </w:r>
      <w:r w:rsidR="00423EC7" w:rsidRPr="00D961B9">
        <w:rPr>
          <w:sz w:val="24"/>
          <w:szCs w:val="24"/>
          <w:lang w:val="en-GB"/>
        </w:rPr>
        <w:t>; Email: r.taplin@unsw.edu.au</w:t>
      </w:r>
    </w:p>
    <w:p w14:paraId="53FB48F7" w14:textId="388D241A" w:rsidR="002D37E7" w:rsidRPr="00D961B9" w:rsidRDefault="002D37E7" w:rsidP="002D37E7">
      <w:pPr>
        <w:spacing w:line="240" w:lineRule="auto"/>
        <w:rPr>
          <w:sz w:val="24"/>
          <w:szCs w:val="24"/>
          <w:lang w:val="en-GB"/>
        </w:rPr>
      </w:pPr>
      <w:r w:rsidRPr="00D961B9">
        <w:rPr>
          <w:sz w:val="24"/>
          <w:szCs w:val="24"/>
          <w:lang w:val="en-GB"/>
        </w:rPr>
        <w:t xml:space="preserve">3-BioCarbon, Macquarie Global Investments, </w:t>
      </w:r>
      <w:r w:rsidR="00423EC7" w:rsidRPr="00D961B9">
        <w:rPr>
          <w:sz w:val="24"/>
          <w:szCs w:val="24"/>
          <w:lang w:val="en-GB"/>
        </w:rPr>
        <w:t xml:space="preserve">1 Shelley Street, </w:t>
      </w:r>
      <w:r w:rsidRPr="00D961B9">
        <w:rPr>
          <w:sz w:val="24"/>
          <w:szCs w:val="24"/>
          <w:lang w:val="en-GB"/>
        </w:rPr>
        <w:t>Sydney</w:t>
      </w:r>
      <w:r w:rsidR="00423EC7" w:rsidRPr="00D961B9">
        <w:rPr>
          <w:sz w:val="24"/>
          <w:szCs w:val="24"/>
          <w:lang w:val="en-GB"/>
        </w:rPr>
        <w:t xml:space="preserve"> </w:t>
      </w:r>
      <w:r w:rsidR="00B16B40" w:rsidRPr="00D961B9">
        <w:rPr>
          <w:sz w:val="24"/>
          <w:szCs w:val="24"/>
          <w:lang w:val="en-GB"/>
        </w:rPr>
        <w:t xml:space="preserve">NSW </w:t>
      </w:r>
      <w:r w:rsidR="00423EC7" w:rsidRPr="00D961B9">
        <w:rPr>
          <w:sz w:val="24"/>
          <w:szCs w:val="24"/>
          <w:lang w:val="en-GB"/>
        </w:rPr>
        <w:t>2000</w:t>
      </w:r>
      <w:r w:rsidRPr="00D961B9">
        <w:rPr>
          <w:sz w:val="24"/>
          <w:szCs w:val="24"/>
          <w:lang w:val="en-GB"/>
        </w:rPr>
        <w:t>, Australia</w:t>
      </w:r>
      <w:r w:rsidR="00423EC7" w:rsidRPr="00D961B9">
        <w:rPr>
          <w:sz w:val="24"/>
          <w:szCs w:val="24"/>
          <w:lang w:val="en-GB"/>
        </w:rPr>
        <w:t>; Tel: +61408593079; Email: Johannes.Ebeling@macquarie.com</w:t>
      </w:r>
    </w:p>
    <w:p w14:paraId="6A2B1501" w14:textId="77777777" w:rsidR="002D37E7" w:rsidRPr="00D961B9" w:rsidRDefault="002D37E7" w:rsidP="002D37E7">
      <w:pPr>
        <w:spacing w:line="240" w:lineRule="auto"/>
        <w:rPr>
          <w:sz w:val="24"/>
          <w:szCs w:val="24"/>
          <w:lang w:val="en-GB"/>
        </w:rPr>
      </w:pPr>
      <w:r w:rsidRPr="00D961B9">
        <w:rPr>
          <w:sz w:val="24"/>
          <w:szCs w:val="24"/>
          <w:lang w:val="en-GB"/>
        </w:rPr>
        <w:t>*corresponding author</w:t>
      </w:r>
    </w:p>
    <w:p w14:paraId="11D1A913" w14:textId="77777777" w:rsidR="00B43D4D" w:rsidRPr="00D961B9" w:rsidRDefault="00170E18" w:rsidP="0019256E">
      <w:pPr>
        <w:pStyle w:val="Heading1"/>
        <w:rPr>
          <w:rFonts w:ascii="Calibri" w:eastAsiaTheme="minorHAnsi" w:hAnsi="Calibri" w:cstheme="minorBidi"/>
          <w:bCs w:val="0"/>
          <w:color w:val="auto"/>
          <w:sz w:val="24"/>
          <w:szCs w:val="24"/>
          <w:lang w:val="en-GB"/>
        </w:rPr>
      </w:pPr>
      <w:r w:rsidRPr="00D961B9">
        <w:rPr>
          <w:rFonts w:ascii="Calibri" w:eastAsiaTheme="minorHAnsi" w:hAnsi="Calibri" w:cstheme="minorBidi"/>
          <w:bCs w:val="0"/>
          <w:color w:val="auto"/>
          <w:sz w:val="24"/>
          <w:szCs w:val="24"/>
          <w:lang w:val="en-GB"/>
        </w:rPr>
        <w:t>Abstract</w:t>
      </w:r>
    </w:p>
    <w:p w14:paraId="334FEBFC" w14:textId="349765B3" w:rsidR="00320561" w:rsidRPr="00D961B9" w:rsidRDefault="003D183F" w:rsidP="0068304B">
      <w:pPr>
        <w:autoSpaceDE w:val="0"/>
        <w:autoSpaceDN w:val="0"/>
        <w:adjustRightInd w:val="0"/>
        <w:rPr>
          <w:rFonts w:ascii="Calibri" w:hAnsi="Calibri"/>
          <w:sz w:val="24"/>
          <w:szCs w:val="24"/>
          <w:lang w:val="en-GB"/>
        </w:rPr>
      </w:pPr>
      <w:r w:rsidRPr="00D961B9">
        <w:rPr>
          <w:rFonts w:ascii="Calibri" w:hAnsi="Calibri"/>
          <w:sz w:val="24"/>
          <w:szCs w:val="24"/>
          <w:lang w:val="en-GB"/>
        </w:rPr>
        <w:t xml:space="preserve">Mining and </w:t>
      </w:r>
      <w:r w:rsidR="00BE2AD2" w:rsidRPr="00D961B9">
        <w:rPr>
          <w:rFonts w:ascii="Calibri" w:hAnsi="Calibri"/>
          <w:sz w:val="24"/>
          <w:szCs w:val="24"/>
          <w:lang w:val="en-GB"/>
        </w:rPr>
        <w:t>associated</w:t>
      </w:r>
      <w:r w:rsidRPr="00D961B9">
        <w:rPr>
          <w:rFonts w:ascii="Calibri" w:hAnsi="Calibri"/>
          <w:sz w:val="24"/>
          <w:szCs w:val="24"/>
          <w:lang w:val="en-GB"/>
        </w:rPr>
        <w:t xml:space="preserve"> infrastructure developments can present as economic opportunities that are difficult to forego for developing and industrialised countries alike. Almost inevitably, however, they lead to </w:t>
      </w:r>
      <w:r w:rsidR="0068304B" w:rsidRPr="00D961B9">
        <w:rPr>
          <w:rFonts w:ascii="Calibri" w:hAnsi="Calibri"/>
          <w:sz w:val="24"/>
          <w:szCs w:val="24"/>
          <w:lang w:val="en-GB"/>
        </w:rPr>
        <w:t>biodiversity</w:t>
      </w:r>
      <w:r w:rsidRPr="00D961B9">
        <w:rPr>
          <w:rFonts w:ascii="Calibri" w:hAnsi="Calibri"/>
          <w:sz w:val="24"/>
          <w:szCs w:val="24"/>
          <w:lang w:val="en-GB"/>
        </w:rPr>
        <w:t xml:space="preserve"> loss. This trade-off can be greatest in </w:t>
      </w:r>
      <w:r w:rsidR="00B16B40" w:rsidRPr="00D961B9">
        <w:rPr>
          <w:rFonts w:ascii="Calibri" w:hAnsi="Calibri"/>
          <w:sz w:val="24"/>
          <w:szCs w:val="24"/>
          <w:lang w:val="en-GB"/>
        </w:rPr>
        <w:t xml:space="preserve">the </w:t>
      </w:r>
      <w:r w:rsidRPr="00D961B9">
        <w:rPr>
          <w:rFonts w:ascii="Calibri" w:hAnsi="Calibri"/>
          <w:sz w:val="24"/>
          <w:szCs w:val="24"/>
          <w:lang w:val="en-GB"/>
        </w:rPr>
        <w:t>poor</w:t>
      </w:r>
      <w:r w:rsidR="00B16B40" w:rsidRPr="00D961B9">
        <w:rPr>
          <w:rFonts w:ascii="Calibri" w:hAnsi="Calibri"/>
          <w:sz w:val="24"/>
          <w:szCs w:val="24"/>
          <w:lang w:val="en-GB"/>
        </w:rPr>
        <w:t xml:space="preserve">est </w:t>
      </w:r>
      <w:r w:rsidR="0041398B" w:rsidRPr="00D961B9">
        <w:rPr>
          <w:rFonts w:ascii="Calibri" w:hAnsi="Calibri"/>
          <w:sz w:val="24"/>
          <w:szCs w:val="24"/>
          <w:lang w:val="en-GB"/>
        </w:rPr>
        <w:t xml:space="preserve">developing </w:t>
      </w:r>
      <w:r w:rsidR="00B16B40" w:rsidRPr="00D961B9">
        <w:rPr>
          <w:rFonts w:ascii="Calibri" w:hAnsi="Calibri"/>
          <w:sz w:val="24"/>
          <w:szCs w:val="24"/>
          <w:lang w:val="en-GB"/>
        </w:rPr>
        <w:t>countries</w:t>
      </w:r>
      <w:r w:rsidRPr="00D961B9">
        <w:rPr>
          <w:rFonts w:ascii="Calibri" w:hAnsi="Calibri"/>
          <w:sz w:val="24"/>
          <w:szCs w:val="24"/>
          <w:lang w:val="en-GB"/>
        </w:rPr>
        <w:t xml:space="preserve"> </w:t>
      </w:r>
      <w:r w:rsidR="00B16B40" w:rsidRPr="00D961B9">
        <w:rPr>
          <w:rFonts w:ascii="Calibri" w:hAnsi="Calibri"/>
          <w:sz w:val="24"/>
          <w:szCs w:val="24"/>
          <w:lang w:val="en-GB"/>
        </w:rPr>
        <w:t>that have</w:t>
      </w:r>
      <w:r w:rsidRPr="00D961B9">
        <w:rPr>
          <w:rFonts w:ascii="Calibri" w:hAnsi="Calibri"/>
          <w:sz w:val="24"/>
          <w:szCs w:val="24"/>
          <w:lang w:val="en-GB"/>
        </w:rPr>
        <w:t xml:space="preserve"> highly biodiverse regions. </w:t>
      </w:r>
      <w:r w:rsidR="0068304B" w:rsidRPr="00D961B9">
        <w:rPr>
          <w:rFonts w:ascii="Calibri" w:hAnsi="Calibri"/>
          <w:sz w:val="24"/>
          <w:szCs w:val="24"/>
          <w:lang w:val="en-GB"/>
        </w:rPr>
        <w:t>B</w:t>
      </w:r>
      <w:r w:rsidRPr="00D961B9">
        <w:rPr>
          <w:rFonts w:ascii="Calibri" w:hAnsi="Calibri"/>
          <w:sz w:val="24"/>
          <w:szCs w:val="24"/>
          <w:lang w:val="en-GB"/>
        </w:rPr>
        <w:t xml:space="preserve">iodiversity offsets </w:t>
      </w:r>
      <w:r w:rsidR="00B16B40" w:rsidRPr="00D961B9">
        <w:rPr>
          <w:rFonts w:ascii="Calibri" w:hAnsi="Calibri"/>
          <w:sz w:val="24"/>
          <w:szCs w:val="24"/>
          <w:lang w:val="en-GB"/>
        </w:rPr>
        <w:t>have</w:t>
      </w:r>
      <w:r w:rsidR="00D07A66" w:rsidRPr="00D961B9">
        <w:rPr>
          <w:rFonts w:ascii="Calibri" w:hAnsi="Calibri"/>
          <w:sz w:val="24"/>
          <w:szCs w:val="24"/>
          <w:lang w:val="en-GB"/>
        </w:rPr>
        <w:t>, therefore, increasingly been</w:t>
      </w:r>
      <w:r w:rsidRPr="00D961B9">
        <w:rPr>
          <w:rFonts w:ascii="Calibri" w:hAnsi="Calibri"/>
          <w:sz w:val="24"/>
          <w:szCs w:val="24"/>
          <w:lang w:val="en-GB"/>
        </w:rPr>
        <w:t xml:space="preserve"> promoted as a mechanism to help achieve both </w:t>
      </w:r>
      <w:r w:rsidR="00B16B40" w:rsidRPr="00D961B9">
        <w:rPr>
          <w:rFonts w:ascii="Calibri" w:hAnsi="Calibri"/>
          <w:sz w:val="24"/>
          <w:szCs w:val="24"/>
          <w:lang w:val="en-GB"/>
        </w:rPr>
        <w:t xml:space="preserve">the </w:t>
      </w:r>
      <w:r w:rsidRPr="00D961B9">
        <w:rPr>
          <w:rFonts w:ascii="Calibri" w:hAnsi="Calibri"/>
          <w:sz w:val="24"/>
          <w:szCs w:val="24"/>
          <w:lang w:val="en-GB"/>
        </w:rPr>
        <w:t>aims</w:t>
      </w:r>
      <w:r w:rsidR="00B16B40" w:rsidRPr="00D961B9">
        <w:rPr>
          <w:rFonts w:ascii="Calibri" w:hAnsi="Calibri"/>
          <w:sz w:val="24"/>
          <w:szCs w:val="24"/>
          <w:lang w:val="en-GB"/>
        </w:rPr>
        <w:t xml:space="preserve"> of development and biodiversity conservation. Accordingly, this </w:t>
      </w:r>
      <w:r w:rsidR="00283630" w:rsidRPr="00D961B9">
        <w:rPr>
          <w:rFonts w:ascii="Calibri" w:hAnsi="Calibri"/>
          <w:sz w:val="24"/>
          <w:szCs w:val="24"/>
          <w:lang w:val="en-GB"/>
        </w:rPr>
        <w:t>mechanism</w:t>
      </w:r>
      <w:r w:rsidR="0068304B" w:rsidRPr="00D961B9">
        <w:rPr>
          <w:rFonts w:ascii="Calibri" w:hAnsi="Calibri"/>
          <w:sz w:val="24"/>
          <w:szCs w:val="24"/>
          <w:lang w:val="en-GB"/>
        </w:rPr>
        <w:t xml:space="preserve"> </w:t>
      </w:r>
      <w:r w:rsidR="00283630" w:rsidRPr="00D961B9">
        <w:rPr>
          <w:rFonts w:ascii="Calibri" w:hAnsi="Calibri"/>
          <w:sz w:val="24"/>
          <w:szCs w:val="24"/>
          <w:lang w:val="en-GB"/>
        </w:rPr>
        <w:t>is</w:t>
      </w:r>
      <w:r w:rsidR="0068304B" w:rsidRPr="00D961B9">
        <w:rPr>
          <w:rFonts w:ascii="Calibri" w:hAnsi="Calibri"/>
          <w:sz w:val="24"/>
          <w:szCs w:val="24"/>
          <w:lang w:val="en-GB"/>
        </w:rPr>
        <w:t xml:space="preserve"> emerging as a</w:t>
      </w:r>
      <w:r w:rsidRPr="00D961B9">
        <w:rPr>
          <w:rFonts w:ascii="Calibri" w:hAnsi="Calibri"/>
          <w:sz w:val="24"/>
          <w:szCs w:val="24"/>
          <w:lang w:val="en-GB"/>
        </w:rPr>
        <w:t xml:space="preserve"> key tool for multinational mining companies to demonstrate good environmental stewardship. Re</w:t>
      </w:r>
      <w:r w:rsidR="007F2A14" w:rsidRPr="00D961B9">
        <w:rPr>
          <w:rFonts w:ascii="Calibri" w:hAnsi="Calibri"/>
          <w:sz w:val="24"/>
          <w:szCs w:val="24"/>
          <w:lang w:val="en-GB"/>
        </w:rPr>
        <w:t xml:space="preserve">lying on offsets to achieve </w:t>
      </w:r>
      <w:r w:rsidR="0041398B" w:rsidRPr="00D961B9">
        <w:rPr>
          <w:rFonts w:ascii="Calibri" w:hAnsi="Calibri"/>
          <w:sz w:val="24"/>
          <w:szCs w:val="24"/>
          <w:lang w:val="en-GB"/>
        </w:rPr>
        <w:t>“</w:t>
      </w:r>
      <w:r w:rsidR="007F2A14" w:rsidRPr="00D961B9">
        <w:rPr>
          <w:rFonts w:ascii="Calibri" w:hAnsi="Calibri"/>
          <w:sz w:val="24"/>
          <w:szCs w:val="24"/>
          <w:lang w:val="en-GB"/>
        </w:rPr>
        <w:t>no-net-</w:t>
      </w:r>
      <w:r w:rsidRPr="00D961B9">
        <w:rPr>
          <w:rFonts w:ascii="Calibri" w:hAnsi="Calibri"/>
          <w:sz w:val="24"/>
          <w:szCs w:val="24"/>
          <w:lang w:val="en-GB"/>
        </w:rPr>
        <w:t>loss</w:t>
      </w:r>
      <w:r w:rsidR="0041398B" w:rsidRPr="00D961B9">
        <w:rPr>
          <w:rFonts w:ascii="Calibri" w:hAnsi="Calibri"/>
          <w:sz w:val="24"/>
          <w:szCs w:val="24"/>
          <w:lang w:val="en-GB"/>
        </w:rPr>
        <w:t>”</w:t>
      </w:r>
      <w:r w:rsidRPr="00D961B9">
        <w:rPr>
          <w:rFonts w:ascii="Calibri" w:hAnsi="Calibri"/>
          <w:sz w:val="24"/>
          <w:szCs w:val="24"/>
          <w:lang w:val="en-GB"/>
        </w:rPr>
        <w:t xml:space="preserve"> of biodiversity, however, requires certainty in their ecological integrity where they are used to sanction habitat destruction. </w:t>
      </w:r>
    </w:p>
    <w:p w14:paraId="1C1CF139" w14:textId="44F29351" w:rsidR="00C43421" w:rsidRPr="00D961B9" w:rsidRDefault="008C0565" w:rsidP="00AB75B5">
      <w:pPr>
        <w:autoSpaceDE w:val="0"/>
        <w:autoSpaceDN w:val="0"/>
        <w:adjustRightInd w:val="0"/>
        <w:rPr>
          <w:rFonts w:ascii="Calibri" w:hAnsi="Calibri"/>
          <w:sz w:val="24"/>
          <w:szCs w:val="24"/>
          <w:lang w:val="en-GB"/>
        </w:rPr>
      </w:pPr>
      <w:r w:rsidRPr="00D961B9">
        <w:rPr>
          <w:rFonts w:ascii="Calibri" w:hAnsi="Calibri"/>
          <w:sz w:val="24"/>
          <w:szCs w:val="24"/>
          <w:lang w:val="en-GB"/>
        </w:rPr>
        <w:t>Here</w:t>
      </w:r>
      <w:r w:rsidR="005D06CF" w:rsidRPr="00D961B9">
        <w:rPr>
          <w:rFonts w:ascii="Calibri" w:hAnsi="Calibri"/>
          <w:sz w:val="24"/>
          <w:szCs w:val="24"/>
          <w:lang w:val="en-GB"/>
        </w:rPr>
        <w:t>, we</w:t>
      </w:r>
      <w:r w:rsidR="00283630" w:rsidRPr="00D961B9">
        <w:rPr>
          <w:rFonts w:ascii="Calibri" w:hAnsi="Calibri"/>
          <w:sz w:val="24"/>
          <w:szCs w:val="24"/>
          <w:lang w:val="en-AU"/>
        </w:rPr>
        <w:t xml:space="preserve"> </w:t>
      </w:r>
      <w:r w:rsidR="00513773" w:rsidRPr="00D961B9">
        <w:rPr>
          <w:rFonts w:ascii="Calibri" w:hAnsi="Calibri"/>
          <w:sz w:val="24"/>
          <w:szCs w:val="24"/>
          <w:lang w:val="en-AU"/>
        </w:rPr>
        <w:t xml:space="preserve">discuss real-world practices in biodiversity offsetting by assessing </w:t>
      </w:r>
      <w:r w:rsidR="00513773" w:rsidRPr="00D961B9">
        <w:rPr>
          <w:rFonts w:ascii="Calibri" w:hAnsi="Calibri"/>
          <w:sz w:val="24"/>
          <w:szCs w:val="24"/>
          <w:lang w:val="en-GB"/>
        </w:rPr>
        <w:t xml:space="preserve">how well some leading initiatives </w:t>
      </w:r>
      <w:r w:rsidR="00B16B40" w:rsidRPr="00D961B9">
        <w:rPr>
          <w:rFonts w:ascii="Calibri" w:hAnsi="Calibri"/>
          <w:sz w:val="24"/>
          <w:szCs w:val="24"/>
          <w:lang w:val="en-GB"/>
        </w:rPr>
        <w:t xml:space="preserve">internationally </w:t>
      </w:r>
      <w:r w:rsidR="00513773" w:rsidRPr="00D961B9">
        <w:rPr>
          <w:rFonts w:ascii="Calibri" w:hAnsi="Calibri"/>
          <w:sz w:val="24"/>
          <w:szCs w:val="24"/>
          <w:lang w:val="en-GB"/>
        </w:rPr>
        <w:t>integrate critical aspects of biodiversity attributes, net loss accounting and project management</w:t>
      </w:r>
      <w:r w:rsidR="00283630" w:rsidRPr="00D961B9">
        <w:rPr>
          <w:rFonts w:ascii="Calibri" w:hAnsi="Calibri"/>
          <w:sz w:val="24"/>
          <w:szCs w:val="24"/>
          <w:lang w:val="en-GB"/>
        </w:rPr>
        <w:t xml:space="preserve">. </w:t>
      </w:r>
      <w:r w:rsidR="00AB75B5" w:rsidRPr="00D961B9">
        <w:rPr>
          <w:rFonts w:ascii="Calibri" w:hAnsi="Calibri"/>
          <w:sz w:val="24"/>
          <w:szCs w:val="24"/>
          <w:lang w:val="en-GB"/>
        </w:rPr>
        <w:t xml:space="preserve"> </w:t>
      </w:r>
      <w:r w:rsidR="00513773" w:rsidRPr="00D961B9">
        <w:rPr>
          <w:rFonts w:ascii="Calibri" w:hAnsi="Calibri"/>
          <w:sz w:val="24"/>
          <w:szCs w:val="24"/>
          <w:lang w:val="en-GB"/>
        </w:rPr>
        <w:t xml:space="preserve">With </w:t>
      </w:r>
      <w:r w:rsidR="00B16B40" w:rsidRPr="00D961B9">
        <w:rPr>
          <w:rFonts w:ascii="Calibri" w:hAnsi="Calibri"/>
          <w:sz w:val="24"/>
          <w:szCs w:val="24"/>
          <w:lang w:val="en-GB"/>
        </w:rPr>
        <w:t>the</w:t>
      </w:r>
      <w:r w:rsidR="00513773" w:rsidRPr="00D961B9">
        <w:rPr>
          <w:rFonts w:ascii="Calibri" w:hAnsi="Calibri"/>
          <w:sz w:val="24"/>
          <w:szCs w:val="24"/>
          <w:lang w:val="en-GB"/>
        </w:rPr>
        <w:t xml:space="preserve"> aim of improving,</w:t>
      </w:r>
      <w:r w:rsidR="005814D4" w:rsidRPr="00D961B9">
        <w:rPr>
          <w:rFonts w:ascii="Calibri" w:hAnsi="Calibri"/>
          <w:sz w:val="24"/>
          <w:szCs w:val="24"/>
          <w:lang w:val="en-GB"/>
        </w:rPr>
        <w:t xml:space="preserve"> rather than merely </w:t>
      </w:r>
      <w:r w:rsidR="00B16B40" w:rsidRPr="00D961B9">
        <w:rPr>
          <w:rFonts w:ascii="Lucida Grande" w:hAnsi="Lucida Grande" w:cs="Lucida Grande"/>
          <w:color w:val="000000"/>
        </w:rPr>
        <w:t>critiquing</w:t>
      </w:r>
      <w:r w:rsidR="00513773" w:rsidRPr="00D961B9">
        <w:rPr>
          <w:rFonts w:ascii="Calibri" w:hAnsi="Calibri"/>
          <w:sz w:val="24"/>
          <w:szCs w:val="24"/>
          <w:lang w:val="en-GB"/>
        </w:rPr>
        <w:t xml:space="preserve"> the approach</w:t>
      </w:r>
      <w:r w:rsidR="005814D4" w:rsidRPr="00D961B9">
        <w:rPr>
          <w:rFonts w:ascii="Calibri" w:hAnsi="Calibri"/>
          <w:sz w:val="24"/>
          <w:szCs w:val="24"/>
          <w:lang w:val="en-GB"/>
        </w:rPr>
        <w:t>,</w:t>
      </w:r>
      <w:r w:rsidR="00513773" w:rsidRPr="00D961B9">
        <w:rPr>
          <w:rFonts w:ascii="Calibri" w:hAnsi="Calibri"/>
          <w:sz w:val="24"/>
          <w:szCs w:val="24"/>
          <w:lang w:val="en-GB"/>
        </w:rPr>
        <w:t xml:space="preserve"> we analyse different aspects of biodiversity</w:t>
      </w:r>
      <w:r w:rsidR="00B16B40" w:rsidRPr="00D961B9">
        <w:rPr>
          <w:rFonts w:ascii="Calibri" w:hAnsi="Calibri"/>
          <w:sz w:val="24"/>
          <w:szCs w:val="24"/>
          <w:lang w:val="en-GB"/>
        </w:rPr>
        <w:t xml:space="preserve"> offsetting</w:t>
      </w:r>
      <w:r w:rsidR="00513773" w:rsidRPr="00D961B9">
        <w:rPr>
          <w:rFonts w:ascii="Calibri" w:hAnsi="Calibri"/>
          <w:sz w:val="24"/>
          <w:szCs w:val="24"/>
          <w:lang w:val="en-GB"/>
        </w:rPr>
        <w:t xml:space="preserve">. Further, we analyse the potential pitfalls of developing counterfactual scenarios of biodiversity loss or gains in </w:t>
      </w:r>
      <w:r w:rsidR="00B16B40" w:rsidRPr="00D961B9">
        <w:rPr>
          <w:rFonts w:ascii="Calibri" w:hAnsi="Calibri"/>
          <w:sz w:val="24"/>
          <w:szCs w:val="24"/>
          <w:lang w:val="en-GB"/>
        </w:rPr>
        <w:t>a</w:t>
      </w:r>
      <w:r w:rsidR="00513773" w:rsidRPr="00D961B9">
        <w:rPr>
          <w:rFonts w:ascii="Calibri" w:hAnsi="Calibri"/>
          <w:sz w:val="24"/>
          <w:szCs w:val="24"/>
          <w:lang w:val="en-GB"/>
        </w:rPr>
        <w:t xml:space="preserve"> project’s absence. In this, we draw on insights from </w:t>
      </w:r>
      <w:r w:rsidR="000E547C" w:rsidRPr="00D961B9">
        <w:rPr>
          <w:rFonts w:ascii="Calibri" w:hAnsi="Calibri"/>
          <w:sz w:val="24"/>
          <w:szCs w:val="24"/>
          <w:lang w:val="en-GB"/>
        </w:rPr>
        <w:t xml:space="preserve">experience with </w:t>
      </w:r>
      <w:r w:rsidR="00513773" w:rsidRPr="00D961B9">
        <w:rPr>
          <w:rFonts w:ascii="Calibri" w:hAnsi="Calibri"/>
          <w:sz w:val="24"/>
          <w:szCs w:val="24"/>
          <w:lang w:val="en-GB"/>
        </w:rPr>
        <w:t xml:space="preserve">carbon </w:t>
      </w:r>
      <w:r w:rsidR="00B16B40" w:rsidRPr="00D961B9">
        <w:rPr>
          <w:rFonts w:ascii="Calibri" w:hAnsi="Calibri"/>
          <w:sz w:val="24"/>
          <w:szCs w:val="24"/>
          <w:lang w:val="en-GB"/>
        </w:rPr>
        <w:t>offsetting</w:t>
      </w:r>
      <w:r w:rsidR="00513773" w:rsidRPr="00D961B9">
        <w:rPr>
          <w:rFonts w:ascii="Calibri" w:hAnsi="Calibri"/>
          <w:sz w:val="24"/>
          <w:szCs w:val="24"/>
          <w:lang w:val="en-GB"/>
        </w:rPr>
        <w:t>. Th</w:t>
      </w:r>
      <w:r w:rsidR="0041398B" w:rsidRPr="00D961B9">
        <w:rPr>
          <w:rFonts w:ascii="Calibri" w:hAnsi="Calibri"/>
          <w:sz w:val="24"/>
          <w:szCs w:val="24"/>
          <w:lang w:val="en-GB"/>
        </w:rPr>
        <w:t>is</w:t>
      </w:r>
      <w:r w:rsidR="00513773" w:rsidRPr="00D961B9">
        <w:rPr>
          <w:rFonts w:ascii="Calibri" w:hAnsi="Calibri"/>
          <w:sz w:val="24"/>
          <w:szCs w:val="24"/>
          <w:lang w:val="en-GB"/>
        </w:rPr>
        <w:t xml:space="preserve"> inform</w:t>
      </w:r>
      <w:r w:rsidR="0041398B" w:rsidRPr="00D961B9">
        <w:rPr>
          <w:rFonts w:ascii="Calibri" w:hAnsi="Calibri"/>
          <w:sz w:val="24"/>
          <w:szCs w:val="24"/>
          <w:lang w:val="en-GB"/>
        </w:rPr>
        <w:t>s</w:t>
      </w:r>
      <w:r w:rsidR="00513773" w:rsidRPr="00D961B9">
        <w:rPr>
          <w:rFonts w:ascii="Calibri" w:hAnsi="Calibri"/>
          <w:sz w:val="24"/>
          <w:szCs w:val="24"/>
          <w:lang w:val="en-GB"/>
        </w:rPr>
        <w:t xml:space="preserve"> our discussion of realistic projections of project effectiveness and permanence of benefits to ensure no net losses, and the risk of displacing, rather than avoiding biodiversity losses (</w:t>
      </w:r>
      <w:r w:rsidR="00E41AAD" w:rsidRPr="00D961B9">
        <w:rPr>
          <w:rFonts w:ascii="Calibri" w:hAnsi="Calibri"/>
          <w:sz w:val="24"/>
          <w:szCs w:val="24"/>
          <w:lang w:val="en-GB"/>
        </w:rPr>
        <w:t>“</w:t>
      </w:r>
      <w:r w:rsidR="00513773" w:rsidRPr="00D961B9">
        <w:rPr>
          <w:rFonts w:ascii="Calibri" w:hAnsi="Calibri"/>
          <w:sz w:val="24"/>
          <w:szCs w:val="24"/>
          <w:lang w:val="en-GB"/>
        </w:rPr>
        <w:t>leakage</w:t>
      </w:r>
      <w:r w:rsidR="00E41AAD" w:rsidRPr="00D961B9">
        <w:rPr>
          <w:rFonts w:ascii="Calibri" w:hAnsi="Calibri"/>
          <w:sz w:val="24"/>
          <w:szCs w:val="24"/>
          <w:lang w:val="en-GB"/>
        </w:rPr>
        <w:t>”</w:t>
      </w:r>
      <w:r w:rsidR="00513773" w:rsidRPr="00D961B9">
        <w:rPr>
          <w:rFonts w:ascii="Calibri" w:hAnsi="Calibri"/>
          <w:sz w:val="24"/>
          <w:szCs w:val="24"/>
          <w:lang w:val="en-GB"/>
        </w:rPr>
        <w:t xml:space="preserve">). </w:t>
      </w:r>
      <w:r w:rsidR="00AB75B5" w:rsidRPr="00D961B9">
        <w:rPr>
          <w:rFonts w:ascii="Calibri" w:hAnsi="Calibri"/>
          <w:sz w:val="24"/>
          <w:szCs w:val="24"/>
          <w:lang w:val="en-GB"/>
        </w:rPr>
        <w:t xml:space="preserve">We show that the most prominent existing </w:t>
      </w:r>
      <w:r w:rsidR="000E547C" w:rsidRPr="00D961B9">
        <w:rPr>
          <w:rFonts w:ascii="Calibri" w:hAnsi="Calibri"/>
          <w:sz w:val="24"/>
          <w:szCs w:val="24"/>
          <w:lang w:val="en-GB"/>
        </w:rPr>
        <w:t xml:space="preserve">biodiversity offset </w:t>
      </w:r>
      <w:r w:rsidR="00AB75B5" w:rsidRPr="00D961B9">
        <w:rPr>
          <w:rFonts w:ascii="Calibri" w:hAnsi="Calibri"/>
          <w:sz w:val="24"/>
          <w:szCs w:val="24"/>
          <w:lang w:val="en-GB"/>
        </w:rPr>
        <w:t xml:space="preserve">initiatives employ broad and somewhat arbitrary parameters to measure habitat value and do not sufficiently consider real-world challenges </w:t>
      </w:r>
      <w:r w:rsidR="000E547C" w:rsidRPr="00D961B9">
        <w:rPr>
          <w:rFonts w:ascii="Calibri" w:hAnsi="Calibri"/>
          <w:sz w:val="24"/>
          <w:szCs w:val="24"/>
          <w:lang w:val="en-GB"/>
        </w:rPr>
        <w:t>in</w:t>
      </w:r>
      <w:r w:rsidR="00AB75B5" w:rsidRPr="00D961B9">
        <w:rPr>
          <w:rFonts w:ascii="Calibri" w:hAnsi="Calibri"/>
          <w:sz w:val="24"/>
          <w:szCs w:val="24"/>
          <w:lang w:val="en-GB"/>
        </w:rPr>
        <w:t xml:space="preserve"> compensating losses </w:t>
      </w:r>
      <w:r w:rsidR="00AB75B5" w:rsidRPr="00D961B9">
        <w:rPr>
          <w:rFonts w:ascii="Calibri" w:hAnsi="Calibri"/>
          <w:sz w:val="24"/>
          <w:szCs w:val="24"/>
          <w:lang w:val="en-GB"/>
        </w:rPr>
        <w:lastRenderedPageBreak/>
        <w:t xml:space="preserve">in an effective and lasting manner. </w:t>
      </w:r>
      <w:r w:rsidR="0068304B" w:rsidRPr="00D961B9">
        <w:rPr>
          <w:rFonts w:ascii="Calibri" w:hAnsi="Calibri"/>
          <w:sz w:val="24"/>
          <w:szCs w:val="24"/>
          <w:lang w:val="en-GB"/>
        </w:rPr>
        <w:t>We propose a more transparent and science-based approach</w:t>
      </w:r>
      <w:r w:rsidR="005A13DF" w:rsidRPr="00D961B9">
        <w:rPr>
          <w:rFonts w:ascii="Calibri" w:hAnsi="Calibri"/>
          <w:sz w:val="24"/>
          <w:szCs w:val="24"/>
          <w:lang w:val="en-GB"/>
        </w:rPr>
        <w:t xml:space="preserve">, </w:t>
      </w:r>
      <w:r w:rsidR="005814D4" w:rsidRPr="00D961B9">
        <w:rPr>
          <w:rFonts w:ascii="Calibri" w:hAnsi="Calibri"/>
          <w:sz w:val="24"/>
          <w:szCs w:val="24"/>
          <w:lang w:val="en-GB"/>
        </w:rPr>
        <w:t>supported with</w:t>
      </w:r>
      <w:r w:rsidR="005A13DF" w:rsidRPr="00D961B9">
        <w:rPr>
          <w:rFonts w:ascii="Calibri" w:hAnsi="Calibri"/>
          <w:sz w:val="24"/>
          <w:szCs w:val="24"/>
          <w:lang w:val="en-GB"/>
        </w:rPr>
        <w:t xml:space="preserve"> a new formula,</w:t>
      </w:r>
      <w:r w:rsidR="0068304B" w:rsidRPr="00D961B9">
        <w:rPr>
          <w:rFonts w:ascii="Calibri" w:hAnsi="Calibri"/>
          <w:sz w:val="24"/>
          <w:szCs w:val="24"/>
          <w:lang w:val="en-GB"/>
        </w:rPr>
        <w:t xml:space="preserve"> to help design biodiversity offsets to realise their potential in enabling more responsible mining that better balance</w:t>
      </w:r>
      <w:r w:rsidR="000E547C" w:rsidRPr="00D961B9">
        <w:rPr>
          <w:rFonts w:ascii="Calibri" w:hAnsi="Calibri"/>
          <w:sz w:val="24"/>
          <w:szCs w:val="24"/>
          <w:lang w:val="en-GB"/>
        </w:rPr>
        <w:t>s</w:t>
      </w:r>
      <w:r w:rsidR="0068304B" w:rsidRPr="00D961B9">
        <w:rPr>
          <w:rFonts w:ascii="Calibri" w:hAnsi="Calibri"/>
          <w:sz w:val="24"/>
          <w:szCs w:val="24"/>
          <w:lang w:val="en-GB"/>
        </w:rPr>
        <w:t xml:space="preserve"> economic </w:t>
      </w:r>
      <w:r w:rsidR="000E547C" w:rsidRPr="00D961B9">
        <w:rPr>
          <w:rFonts w:ascii="Calibri" w:hAnsi="Calibri"/>
          <w:sz w:val="24"/>
          <w:szCs w:val="24"/>
          <w:lang w:val="en-GB"/>
        </w:rPr>
        <w:t xml:space="preserve">development </w:t>
      </w:r>
      <w:r w:rsidR="0068304B" w:rsidRPr="00D961B9">
        <w:rPr>
          <w:rFonts w:ascii="Calibri" w:hAnsi="Calibri"/>
          <w:sz w:val="24"/>
          <w:szCs w:val="24"/>
          <w:lang w:val="en-GB"/>
        </w:rPr>
        <w:t xml:space="preserve">opportunities </w:t>
      </w:r>
      <w:r w:rsidR="000E547C" w:rsidRPr="00D961B9">
        <w:rPr>
          <w:rFonts w:ascii="Calibri" w:hAnsi="Calibri"/>
          <w:sz w:val="24"/>
          <w:szCs w:val="24"/>
          <w:lang w:val="en-GB"/>
        </w:rPr>
        <w:t xml:space="preserve">for mining </w:t>
      </w:r>
      <w:r w:rsidR="0068304B" w:rsidRPr="00D961B9">
        <w:rPr>
          <w:rFonts w:ascii="Calibri" w:hAnsi="Calibri"/>
          <w:sz w:val="24"/>
          <w:szCs w:val="24"/>
          <w:lang w:val="en-GB"/>
        </w:rPr>
        <w:t>and biodiversity conservation.</w:t>
      </w:r>
      <w:r w:rsidR="007529FC" w:rsidRPr="00D961B9">
        <w:rPr>
          <w:rFonts w:ascii="Calibri" w:hAnsi="Calibri"/>
          <w:sz w:val="24"/>
          <w:szCs w:val="24"/>
          <w:lang w:val="en-GB"/>
        </w:rPr>
        <w:t xml:space="preserve"> </w:t>
      </w:r>
    </w:p>
    <w:p w14:paraId="1D5EE6E9" w14:textId="77777777" w:rsidR="00B761C5" w:rsidRPr="00D961B9" w:rsidRDefault="00B761C5" w:rsidP="00283630">
      <w:pPr>
        <w:autoSpaceDE w:val="0"/>
        <w:autoSpaceDN w:val="0"/>
        <w:adjustRightInd w:val="0"/>
        <w:spacing w:after="0" w:line="288" w:lineRule="auto"/>
        <w:rPr>
          <w:rFonts w:ascii="Calibri" w:hAnsi="Calibri"/>
          <w:sz w:val="24"/>
          <w:szCs w:val="24"/>
          <w:lang w:val="en-GB"/>
        </w:rPr>
      </w:pPr>
    </w:p>
    <w:p w14:paraId="5CCD2BE5" w14:textId="77777777" w:rsidR="00B761C5" w:rsidRPr="00D961B9" w:rsidRDefault="00B761C5" w:rsidP="00283630">
      <w:pPr>
        <w:autoSpaceDE w:val="0"/>
        <w:autoSpaceDN w:val="0"/>
        <w:adjustRightInd w:val="0"/>
        <w:spacing w:after="0" w:line="288" w:lineRule="auto"/>
        <w:rPr>
          <w:rFonts w:ascii="Calibri" w:hAnsi="Calibri"/>
          <w:sz w:val="24"/>
          <w:szCs w:val="24"/>
          <w:lang w:val="en-GB"/>
        </w:rPr>
      </w:pPr>
      <w:r w:rsidRPr="00D961B9">
        <w:rPr>
          <w:rFonts w:ascii="Calibri" w:hAnsi="Calibri"/>
          <w:b/>
          <w:sz w:val="24"/>
          <w:szCs w:val="24"/>
          <w:lang w:val="en-GB"/>
        </w:rPr>
        <w:t>Keywords</w:t>
      </w:r>
    </w:p>
    <w:p w14:paraId="4619D352" w14:textId="290A6205" w:rsidR="00771574" w:rsidRPr="00D961B9" w:rsidRDefault="00771574" w:rsidP="00716361">
      <w:pPr>
        <w:pStyle w:val="Heading1"/>
        <w:rPr>
          <w:rFonts w:ascii="Calibri" w:eastAsiaTheme="minorHAnsi" w:hAnsi="Calibri" w:cstheme="minorBidi"/>
          <w:b w:val="0"/>
          <w:bCs w:val="0"/>
          <w:color w:val="auto"/>
          <w:sz w:val="24"/>
          <w:szCs w:val="24"/>
          <w:lang w:val="en-GB"/>
        </w:rPr>
      </w:pPr>
      <w:r w:rsidRPr="00D961B9">
        <w:rPr>
          <w:rFonts w:ascii="Calibri" w:eastAsiaTheme="minorHAnsi" w:hAnsi="Calibri" w:cstheme="minorBidi"/>
          <w:b w:val="0"/>
          <w:bCs w:val="0"/>
          <w:color w:val="auto"/>
          <w:sz w:val="24"/>
          <w:szCs w:val="24"/>
          <w:lang w:val="en-GB"/>
        </w:rPr>
        <w:t xml:space="preserve">Biodiversity </w:t>
      </w:r>
      <w:r w:rsidR="000E547C" w:rsidRPr="00D961B9">
        <w:rPr>
          <w:rFonts w:ascii="Calibri" w:eastAsiaTheme="minorHAnsi" w:hAnsi="Calibri" w:cstheme="minorBidi"/>
          <w:b w:val="0"/>
          <w:bCs w:val="0"/>
          <w:color w:val="auto"/>
          <w:sz w:val="24"/>
          <w:szCs w:val="24"/>
          <w:lang w:val="en-GB"/>
        </w:rPr>
        <w:t xml:space="preserve">Offsets, Biodiversity </w:t>
      </w:r>
      <w:r w:rsidRPr="00D961B9">
        <w:rPr>
          <w:rFonts w:ascii="Calibri" w:eastAsiaTheme="minorHAnsi" w:hAnsi="Calibri" w:cstheme="minorBidi"/>
          <w:b w:val="0"/>
          <w:bCs w:val="0"/>
          <w:color w:val="auto"/>
          <w:sz w:val="24"/>
          <w:szCs w:val="24"/>
          <w:lang w:val="en-GB"/>
        </w:rPr>
        <w:t xml:space="preserve">Accounting, </w:t>
      </w:r>
      <w:r w:rsidR="00E41AAD" w:rsidRPr="00D961B9">
        <w:rPr>
          <w:rFonts w:ascii="Calibri" w:eastAsiaTheme="minorHAnsi" w:hAnsi="Calibri" w:cstheme="minorBidi"/>
          <w:b w:val="0"/>
          <w:bCs w:val="0"/>
          <w:color w:val="auto"/>
          <w:sz w:val="24"/>
          <w:szCs w:val="24"/>
          <w:lang w:val="en-GB"/>
        </w:rPr>
        <w:t xml:space="preserve">Biodiversity </w:t>
      </w:r>
      <w:r w:rsidRPr="00D961B9">
        <w:rPr>
          <w:rFonts w:ascii="Calibri" w:eastAsiaTheme="minorHAnsi" w:hAnsi="Calibri" w:cstheme="minorBidi"/>
          <w:b w:val="0"/>
          <w:bCs w:val="0"/>
          <w:color w:val="auto"/>
          <w:sz w:val="24"/>
          <w:szCs w:val="24"/>
          <w:lang w:val="en-GB"/>
        </w:rPr>
        <w:t xml:space="preserve">Impact Assessment, Carbon </w:t>
      </w:r>
      <w:r w:rsidR="000E547C" w:rsidRPr="00D961B9">
        <w:rPr>
          <w:rFonts w:ascii="Calibri" w:eastAsiaTheme="minorHAnsi" w:hAnsi="Calibri" w:cstheme="minorBidi"/>
          <w:b w:val="0"/>
          <w:bCs w:val="0"/>
          <w:color w:val="auto"/>
          <w:sz w:val="24"/>
          <w:szCs w:val="24"/>
          <w:lang w:val="en-GB"/>
        </w:rPr>
        <w:t>O</w:t>
      </w:r>
      <w:r w:rsidRPr="00D961B9">
        <w:rPr>
          <w:rFonts w:ascii="Calibri" w:eastAsiaTheme="minorHAnsi" w:hAnsi="Calibri" w:cstheme="minorBidi"/>
          <w:b w:val="0"/>
          <w:bCs w:val="0"/>
          <w:color w:val="auto"/>
          <w:sz w:val="24"/>
          <w:szCs w:val="24"/>
          <w:lang w:val="en-GB"/>
        </w:rPr>
        <w:t>ffset</w:t>
      </w:r>
      <w:r w:rsidR="000E547C" w:rsidRPr="00D961B9">
        <w:rPr>
          <w:rFonts w:ascii="Calibri" w:eastAsiaTheme="minorHAnsi" w:hAnsi="Calibri" w:cstheme="minorBidi"/>
          <w:b w:val="0"/>
          <w:bCs w:val="0"/>
          <w:color w:val="auto"/>
          <w:sz w:val="24"/>
          <w:szCs w:val="24"/>
          <w:lang w:val="en-GB"/>
        </w:rPr>
        <w:t>s</w:t>
      </w:r>
      <w:r w:rsidRPr="00D961B9">
        <w:rPr>
          <w:rFonts w:ascii="Calibri" w:eastAsiaTheme="minorHAnsi" w:hAnsi="Calibri" w:cstheme="minorBidi"/>
          <w:b w:val="0"/>
          <w:bCs w:val="0"/>
          <w:color w:val="auto"/>
          <w:sz w:val="24"/>
          <w:szCs w:val="24"/>
          <w:lang w:val="en-GB"/>
        </w:rPr>
        <w:t>, Corporate Social Responsibility, Responsible Investment, and Responsible Mining</w:t>
      </w:r>
    </w:p>
    <w:p w14:paraId="67CCD68A" w14:textId="77777777" w:rsidR="00170E18" w:rsidRPr="00D961B9" w:rsidRDefault="00E41AAD" w:rsidP="00716361">
      <w:pPr>
        <w:pStyle w:val="Heading1"/>
        <w:rPr>
          <w:rFonts w:ascii="Calibri" w:eastAsiaTheme="minorHAnsi" w:hAnsi="Calibri" w:cstheme="minorBidi"/>
          <w:bCs w:val="0"/>
          <w:color w:val="auto"/>
          <w:sz w:val="24"/>
          <w:szCs w:val="24"/>
          <w:lang w:val="en-GB"/>
        </w:rPr>
      </w:pPr>
      <w:r w:rsidRPr="00D961B9">
        <w:rPr>
          <w:rFonts w:ascii="Calibri" w:eastAsiaTheme="minorHAnsi" w:hAnsi="Calibri" w:cstheme="minorBidi"/>
          <w:bCs w:val="0"/>
          <w:color w:val="auto"/>
          <w:sz w:val="24"/>
          <w:szCs w:val="24"/>
          <w:lang w:val="en-GB"/>
        </w:rPr>
        <w:t xml:space="preserve">1 </w:t>
      </w:r>
      <w:r w:rsidR="008D5849" w:rsidRPr="00D961B9">
        <w:rPr>
          <w:rFonts w:ascii="Calibri" w:eastAsiaTheme="minorHAnsi" w:hAnsi="Calibri" w:cstheme="minorBidi"/>
          <w:bCs w:val="0"/>
          <w:color w:val="auto"/>
          <w:sz w:val="24"/>
          <w:szCs w:val="24"/>
          <w:lang w:val="en-GB"/>
        </w:rPr>
        <w:t>I</w:t>
      </w:r>
      <w:r w:rsidR="00170E18" w:rsidRPr="00D961B9">
        <w:rPr>
          <w:rFonts w:ascii="Calibri" w:eastAsiaTheme="minorHAnsi" w:hAnsi="Calibri" w:cstheme="minorBidi"/>
          <w:bCs w:val="0"/>
          <w:color w:val="auto"/>
          <w:sz w:val="24"/>
          <w:szCs w:val="24"/>
          <w:lang w:val="en-GB"/>
        </w:rPr>
        <w:t xml:space="preserve">ntroduction </w:t>
      </w:r>
    </w:p>
    <w:p w14:paraId="384F5F99" w14:textId="0E5F1A42" w:rsidR="0084148D" w:rsidRPr="00D961B9" w:rsidRDefault="00590B40">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The perceived conflict between economically profitable </w:t>
      </w:r>
      <w:r w:rsidR="00BE2AD2" w:rsidRPr="00D961B9">
        <w:rPr>
          <w:rFonts w:ascii="Calibri" w:hAnsi="Calibri"/>
          <w:sz w:val="24"/>
          <w:szCs w:val="24"/>
          <w:lang w:val="en-GB"/>
        </w:rPr>
        <w:t xml:space="preserve">ventures such as mining </w:t>
      </w:r>
      <w:r w:rsidRPr="00D961B9">
        <w:rPr>
          <w:rFonts w:ascii="Calibri" w:hAnsi="Calibri"/>
          <w:sz w:val="24"/>
          <w:szCs w:val="24"/>
          <w:lang w:val="en-GB"/>
        </w:rPr>
        <w:t xml:space="preserve">and natural heritage is becoming increasingly acute as the material needs of a growing global population compete with shrinking habitats </w:t>
      </w:r>
      <w:r w:rsidR="00320561" w:rsidRPr="00D961B9">
        <w:rPr>
          <w:rFonts w:ascii="Calibri" w:hAnsi="Calibri"/>
          <w:sz w:val="24"/>
          <w:szCs w:val="24"/>
          <w:lang w:val="en-GB"/>
        </w:rPr>
        <w:t>harbouring</w:t>
      </w:r>
      <w:r w:rsidRPr="00D961B9">
        <w:rPr>
          <w:rFonts w:ascii="Calibri" w:hAnsi="Calibri"/>
          <w:sz w:val="24"/>
          <w:szCs w:val="24"/>
          <w:lang w:val="en-GB"/>
        </w:rPr>
        <w:t xml:space="preserve"> the world’s remaining biodiversity. Mining and </w:t>
      </w:r>
      <w:r w:rsidR="00BE2AD2" w:rsidRPr="00D961B9">
        <w:rPr>
          <w:rFonts w:ascii="Calibri" w:hAnsi="Calibri"/>
          <w:sz w:val="24"/>
          <w:szCs w:val="24"/>
          <w:lang w:val="en-GB"/>
        </w:rPr>
        <w:t>associated</w:t>
      </w:r>
      <w:r w:rsidR="00692382" w:rsidRPr="00D961B9">
        <w:rPr>
          <w:rFonts w:ascii="Calibri" w:hAnsi="Calibri"/>
          <w:sz w:val="24"/>
          <w:szCs w:val="24"/>
          <w:lang w:val="en-GB"/>
        </w:rPr>
        <w:t xml:space="preserve"> large</w:t>
      </w:r>
      <w:r w:rsidRPr="00D961B9">
        <w:rPr>
          <w:rFonts w:ascii="Calibri" w:hAnsi="Calibri"/>
          <w:sz w:val="24"/>
          <w:szCs w:val="24"/>
          <w:lang w:val="en-GB"/>
        </w:rPr>
        <w:t xml:space="preserve"> infrastructure developments create economic opportunities </w:t>
      </w:r>
      <w:r w:rsidR="00402ED6" w:rsidRPr="00D961B9">
        <w:rPr>
          <w:rFonts w:ascii="Calibri" w:hAnsi="Calibri"/>
          <w:sz w:val="24"/>
          <w:szCs w:val="24"/>
          <w:lang w:val="en-GB"/>
        </w:rPr>
        <w:t>that may seem too significant to forego</w:t>
      </w:r>
      <w:r w:rsidR="0076442B" w:rsidRPr="00D961B9">
        <w:rPr>
          <w:rFonts w:ascii="Calibri" w:hAnsi="Calibri"/>
          <w:sz w:val="24"/>
          <w:szCs w:val="24"/>
          <w:lang w:val="en-GB"/>
        </w:rPr>
        <w:t>, even where they threaten to destroy valuable habitat. This is true</w:t>
      </w:r>
      <w:r w:rsidRPr="00D961B9">
        <w:rPr>
          <w:rFonts w:ascii="Calibri" w:hAnsi="Calibri"/>
          <w:sz w:val="24"/>
          <w:szCs w:val="24"/>
          <w:lang w:val="en-GB"/>
        </w:rPr>
        <w:t xml:space="preserve"> for developing and</w:t>
      </w:r>
      <w:r w:rsidR="0076442B" w:rsidRPr="00D961B9">
        <w:rPr>
          <w:rFonts w:ascii="Calibri" w:hAnsi="Calibri"/>
          <w:sz w:val="24"/>
          <w:szCs w:val="24"/>
          <w:lang w:val="en-GB"/>
        </w:rPr>
        <w:t xml:space="preserve"> industrialised countries alike, although the dilemma</w:t>
      </w:r>
      <w:r w:rsidRPr="00D961B9">
        <w:rPr>
          <w:rFonts w:ascii="Calibri" w:hAnsi="Calibri"/>
          <w:sz w:val="24"/>
          <w:szCs w:val="24"/>
          <w:lang w:val="en-GB"/>
        </w:rPr>
        <w:t xml:space="preserve"> can be greatest in </w:t>
      </w:r>
      <w:r w:rsidR="000E547C" w:rsidRPr="00D961B9">
        <w:rPr>
          <w:rFonts w:ascii="Calibri" w:hAnsi="Calibri"/>
          <w:sz w:val="24"/>
          <w:szCs w:val="24"/>
          <w:lang w:val="en-GB"/>
        </w:rPr>
        <w:t xml:space="preserve">the </w:t>
      </w:r>
      <w:r w:rsidRPr="00D961B9">
        <w:rPr>
          <w:rFonts w:ascii="Calibri" w:hAnsi="Calibri"/>
          <w:sz w:val="24"/>
          <w:szCs w:val="24"/>
          <w:lang w:val="en-GB"/>
        </w:rPr>
        <w:t>poor</w:t>
      </w:r>
      <w:r w:rsidR="000E547C" w:rsidRPr="00D961B9">
        <w:rPr>
          <w:rFonts w:ascii="Calibri" w:hAnsi="Calibri"/>
          <w:sz w:val="24"/>
          <w:szCs w:val="24"/>
          <w:lang w:val="en-GB"/>
        </w:rPr>
        <w:t>est developing countries</w:t>
      </w:r>
      <w:r w:rsidRPr="00D961B9">
        <w:rPr>
          <w:rFonts w:ascii="Calibri" w:hAnsi="Calibri"/>
          <w:sz w:val="24"/>
          <w:szCs w:val="24"/>
          <w:lang w:val="en-GB"/>
        </w:rPr>
        <w:t xml:space="preserve"> </w:t>
      </w:r>
      <w:r w:rsidR="000E547C" w:rsidRPr="00D961B9">
        <w:rPr>
          <w:rFonts w:ascii="Calibri" w:hAnsi="Calibri"/>
          <w:sz w:val="24"/>
          <w:szCs w:val="24"/>
          <w:lang w:val="en-GB"/>
        </w:rPr>
        <w:t xml:space="preserve">and </w:t>
      </w:r>
      <w:r w:rsidR="00402ED6" w:rsidRPr="00D961B9">
        <w:rPr>
          <w:rFonts w:ascii="Calibri" w:hAnsi="Calibri"/>
          <w:sz w:val="24"/>
          <w:szCs w:val="24"/>
          <w:lang w:val="en-GB"/>
        </w:rPr>
        <w:t>regions</w:t>
      </w:r>
      <w:r w:rsidR="0076442B" w:rsidRPr="00D961B9">
        <w:rPr>
          <w:rFonts w:ascii="Calibri" w:hAnsi="Calibri"/>
          <w:sz w:val="24"/>
          <w:szCs w:val="24"/>
          <w:lang w:val="en-GB"/>
        </w:rPr>
        <w:t xml:space="preserve"> harbouring globally unique biodiversity, such as </w:t>
      </w:r>
      <w:r w:rsidR="00402ED6" w:rsidRPr="00D961B9">
        <w:rPr>
          <w:rFonts w:ascii="Calibri" w:hAnsi="Calibri"/>
          <w:sz w:val="24"/>
          <w:szCs w:val="24"/>
          <w:lang w:val="en-GB"/>
        </w:rPr>
        <w:t>shrinking</w:t>
      </w:r>
      <w:r w:rsidR="00320561" w:rsidRPr="00D961B9">
        <w:rPr>
          <w:rFonts w:ascii="Calibri" w:hAnsi="Calibri"/>
          <w:sz w:val="24"/>
          <w:szCs w:val="24"/>
          <w:lang w:val="en-GB"/>
        </w:rPr>
        <w:t xml:space="preserve"> </w:t>
      </w:r>
      <w:r w:rsidR="00402ED6" w:rsidRPr="00D961B9">
        <w:rPr>
          <w:rFonts w:ascii="Calibri" w:hAnsi="Calibri"/>
          <w:sz w:val="24"/>
          <w:szCs w:val="24"/>
          <w:lang w:val="en-GB"/>
        </w:rPr>
        <w:t>areas</w:t>
      </w:r>
      <w:r w:rsidR="0076442B" w:rsidRPr="00D961B9">
        <w:rPr>
          <w:rFonts w:ascii="Calibri" w:hAnsi="Calibri"/>
          <w:sz w:val="24"/>
          <w:szCs w:val="24"/>
          <w:lang w:val="en-GB"/>
        </w:rPr>
        <w:t xml:space="preserve"> of tropical rainforests</w:t>
      </w:r>
      <w:r w:rsidRPr="00D961B9">
        <w:rPr>
          <w:rFonts w:ascii="Calibri" w:hAnsi="Calibri"/>
          <w:sz w:val="24"/>
          <w:szCs w:val="24"/>
          <w:lang w:val="en-GB"/>
        </w:rPr>
        <w:t>.</w:t>
      </w:r>
    </w:p>
    <w:p w14:paraId="581346E6" w14:textId="77777777" w:rsidR="0076442B" w:rsidRPr="00D961B9" w:rsidRDefault="0076442B" w:rsidP="000605BC">
      <w:pPr>
        <w:autoSpaceDE w:val="0"/>
        <w:autoSpaceDN w:val="0"/>
        <w:adjustRightInd w:val="0"/>
        <w:spacing w:after="0" w:line="240" w:lineRule="auto"/>
        <w:rPr>
          <w:rFonts w:ascii="Calibri" w:hAnsi="Calibri"/>
          <w:sz w:val="24"/>
          <w:szCs w:val="24"/>
          <w:lang w:val="en-GB"/>
        </w:rPr>
      </w:pPr>
    </w:p>
    <w:p w14:paraId="7693C8FB" w14:textId="2D7DBFC6" w:rsidR="005C070B" w:rsidRPr="00D961B9" w:rsidRDefault="0076442B">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B</w:t>
      </w:r>
      <w:r w:rsidR="00590B40" w:rsidRPr="00D961B9">
        <w:rPr>
          <w:rFonts w:ascii="Calibri" w:hAnsi="Calibri"/>
          <w:sz w:val="24"/>
          <w:szCs w:val="24"/>
          <w:lang w:val="en-GB"/>
        </w:rPr>
        <w:t xml:space="preserve">iodiversity offsets have been promoted as a mechanism </w:t>
      </w:r>
      <w:r w:rsidRPr="00D961B9">
        <w:rPr>
          <w:rFonts w:ascii="Calibri" w:hAnsi="Calibri"/>
          <w:sz w:val="24"/>
          <w:szCs w:val="24"/>
          <w:lang w:val="en-GB"/>
        </w:rPr>
        <w:t xml:space="preserve">that promises the possibility </w:t>
      </w:r>
      <w:r w:rsidR="000E547C" w:rsidRPr="00D961B9">
        <w:rPr>
          <w:rFonts w:ascii="Calibri" w:hAnsi="Calibri"/>
          <w:sz w:val="24"/>
          <w:szCs w:val="24"/>
          <w:lang w:val="en-GB"/>
        </w:rPr>
        <w:t>of</w:t>
      </w:r>
      <w:r w:rsidR="00590B40" w:rsidRPr="00D961B9">
        <w:rPr>
          <w:rFonts w:ascii="Calibri" w:hAnsi="Calibri"/>
          <w:sz w:val="24"/>
          <w:szCs w:val="24"/>
          <w:lang w:val="en-GB"/>
        </w:rPr>
        <w:t xml:space="preserve"> </w:t>
      </w:r>
      <w:r w:rsidR="00292897" w:rsidRPr="00D961B9">
        <w:rPr>
          <w:rFonts w:ascii="Calibri" w:hAnsi="Calibri"/>
          <w:sz w:val="24"/>
          <w:szCs w:val="24"/>
          <w:lang w:val="en-GB"/>
        </w:rPr>
        <w:t>reconcil</w:t>
      </w:r>
      <w:r w:rsidR="000E547C" w:rsidRPr="00D961B9">
        <w:rPr>
          <w:rFonts w:ascii="Calibri" w:hAnsi="Calibri"/>
          <w:sz w:val="24"/>
          <w:szCs w:val="24"/>
          <w:lang w:val="en-GB"/>
        </w:rPr>
        <w:t>ing</w:t>
      </w:r>
      <w:r w:rsidR="00590B40" w:rsidRPr="00D961B9">
        <w:rPr>
          <w:rFonts w:ascii="Calibri" w:hAnsi="Calibri"/>
          <w:sz w:val="24"/>
          <w:szCs w:val="24"/>
          <w:lang w:val="en-GB"/>
        </w:rPr>
        <w:t xml:space="preserve"> both </w:t>
      </w:r>
      <w:r w:rsidR="000E547C" w:rsidRPr="00D961B9">
        <w:rPr>
          <w:rFonts w:ascii="Calibri" w:hAnsi="Calibri"/>
          <w:sz w:val="24"/>
          <w:szCs w:val="24"/>
          <w:lang w:val="en-GB"/>
        </w:rPr>
        <w:t xml:space="preserve">the </w:t>
      </w:r>
      <w:r w:rsidR="00590B40" w:rsidRPr="00D961B9">
        <w:rPr>
          <w:rFonts w:ascii="Calibri" w:hAnsi="Calibri"/>
          <w:sz w:val="24"/>
          <w:szCs w:val="24"/>
          <w:lang w:val="en-GB"/>
        </w:rPr>
        <w:t>aims</w:t>
      </w:r>
      <w:r w:rsidR="000E547C" w:rsidRPr="00D961B9">
        <w:rPr>
          <w:rFonts w:ascii="Calibri" w:hAnsi="Calibri"/>
          <w:sz w:val="24"/>
          <w:szCs w:val="24"/>
          <w:lang w:val="en-GB"/>
        </w:rPr>
        <w:t xml:space="preserve"> of development and conservation</w:t>
      </w:r>
      <w:r w:rsidR="00402ED6" w:rsidRPr="00D961B9">
        <w:rPr>
          <w:rFonts w:ascii="Calibri" w:hAnsi="Calibri"/>
          <w:sz w:val="24"/>
          <w:szCs w:val="24"/>
          <w:lang w:val="en-GB"/>
        </w:rPr>
        <w:t>. The</w:t>
      </w:r>
      <w:r w:rsidR="000E547C" w:rsidRPr="00D961B9">
        <w:rPr>
          <w:rFonts w:ascii="Calibri" w:hAnsi="Calibri"/>
          <w:sz w:val="24"/>
          <w:szCs w:val="24"/>
          <w:lang w:val="en-GB"/>
        </w:rPr>
        <w:t xml:space="preserve"> mechanism</w:t>
      </w:r>
      <w:r w:rsidR="00402ED6" w:rsidRPr="00D961B9">
        <w:rPr>
          <w:rFonts w:ascii="Calibri" w:hAnsi="Calibri"/>
          <w:sz w:val="24"/>
          <w:szCs w:val="24"/>
          <w:lang w:val="en-GB"/>
        </w:rPr>
        <w:t xml:space="preserve"> ha</w:t>
      </w:r>
      <w:r w:rsidR="000E547C" w:rsidRPr="00D961B9">
        <w:rPr>
          <w:rFonts w:ascii="Calibri" w:hAnsi="Calibri"/>
          <w:sz w:val="24"/>
          <w:szCs w:val="24"/>
          <w:lang w:val="en-GB"/>
        </w:rPr>
        <w:t>s</w:t>
      </w:r>
      <w:r w:rsidR="00590B40" w:rsidRPr="00D961B9">
        <w:rPr>
          <w:rFonts w:ascii="Calibri" w:hAnsi="Calibri"/>
          <w:sz w:val="24"/>
          <w:szCs w:val="24"/>
          <w:lang w:val="en-GB"/>
        </w:rPr>
        <w:t xml:space="preserve"> become a key tool for multinational mining companies to demonstrate good environmental stewardship and manage regulatory risks </w:t>
      </w:r>
      <w:r w:rsidR="002E6AA3" w:rsidRPr="00D961B9">
        <w:rPr>
          <w:rFonts w:ascii="Calibri" w:hAnsi="Calibri"/>
          <w:sz w:val="24"/>
          <w:szCs w:val="24"/>
          <w:lang w:val="en-GB"/>
        </w:rPr>
        <w:fldChar w:fldCharType="begin" w:fldLock="1"/>
      </w:r>
      <w:r w:rsidR="00CF55F0" w:rsidRPr="00D961B9">
        <w:rPr>
          <w:rFonts w:ascii="Calibri" w:hAnsi="Calibri"/>
          <w:sz w:val="24"/>
          <w:szCs w:val="24"/>
          <w:lang w:val="en-GB"/>
        </w:rPr>
        <w:instrText>ADDIN CSL_CITATION { "citationItems" : [ { "id" : "ITEM-1", "itemData" : { "DOI" : "ISBN 978-1-932928-56-3 (paperback) ISBN 978-1-932928-55-6 (PDF) Reproduction", "ISBN" : "9781932928563", "author" : [ { "dropping-particle" : "", "family" : "(BBOP)", "given" : "Business and Biodiversity Offsets Programme", "non-dropping-particle" : "", "parse-names" : false, "suffix" : "" } ], "id" : "ITEM-1", "issued" : { "date-parts" : [ [ "2013" ] ] }, "page" : "21", "publisher-place" : "Washington, D.C.", "title" : "To No Net Loss and Beyond An Overview of the Business and Biodiversity Offsets Programme ( BBOP )", "type" : "report" }, "uris" : [ "http://www.mendeley.com/documents/?uuid=71bd715b-6825-4708-86fa-76e8fc5a696d" ] }, { "id" : "ITEM-2", "itemData" : { "ISBN" : "9781932928310", "author" : [ { "dropping-particle" : "", "family" : "(BBOP)", "given" : "Business and Biodiversity Offsets Programme", "non-dropping-particle" : "", "parse-names" : false, "suffix" : "" } ], "id" : "ITEM-2", "issued" : { "date-parts" : [ [ "2009" ] ] }, "page" : "103", "publisher-place" : "Washington, D.C.", "title" : "Biodiversity Offset Design Handbook", "type" : "report" }, "uris" : [ "http://www.mendeley.com/documents/?uuid=13fa39a7-ff5c-429b-b289-c75fd7c875cf" ] }, { "id" : "ITEM-3", "itemData" : { "DOI" : "10.1016/j.biocon.2012.06.003", "ISSN" : "00063207", "author" : [ { "dropping-particle" : "", "family" : "Maron", "given" : "Martine", "non-dropping-particle" : "", "parse-names" : false, "suffix" : "" }, { "dropping-particle" : "", "family" : "Hobbs", "given" : "Richard J.", "non-dropping-particle" : "", "parse-names" : false, "suffix" : "" }, { "dropping-particle" : "", "family" : "Moilanen", "given" : "Atte", "non-dropping-particle" : "", "parse-names" : false, "suffix" : "" }, { "dropping-particle" : "", "family" : "Matthews", "given" : "Jeffrey W.", "non-dropping-particle" : "", "parse-names" : false, "suffix" : "" }, { "dropping-particle" : "", "family" : "Christie", "given" : "Kimberly", "non-dropping-particle" : "", "parse-names" : false, "suffix" : "" }, { "dropping-particle" : "", "family" : "Gardner", "given" : "Toby a.", "non-dropping-particle" : "", "parse-names" : false, "suffix" : "" }, { "dropping-particle" : "", "family" : "Keith", "given" : "David a.", "non-dropping-particle" : "", "parse-names" : false, "suffix" : "" }, { "dropping-particle" : "", "family" : "Lindenmayer", "given" : "David B.", "non-dropping-particle" : "", "parse-names" : false, "suffix" : "" }, { "dropping-particle" : "", "family" : "McAlpine", "given" : "Clive a.", "non-dropping-particle" : "", "parse-names" : false, "suffix" : "" } ], "container-title" : "Biological Conservation", "id" : "ITEM-3", "issued" : { "date-parts" : [ [ "2012", "10" ] ] }, "page" : "141-148", "publisher" : "Elsevier Ltd", "title" : "Faustian bargains? Restoration realities in the context of biodiversity offset policies", "type" : "article-journal", "volume" : "155" }, "uris" : [ "http://www.mendeley.com/documents/?uuid=e92c91d4-521a-449a-b210-9d2853867c46" ] }, { "id" : "ITEM-4", "itemData" : { "DOI" : "10.1007/s00267-009-9396-3", "ISSN" : "1432-1009", "PMID" : "19924472", "abstract" : "Biodiversity offsets seek to compensate for residual environmental impacts of planned developments after appropriate steps have been taken to avoid, minimize or restore impacts on site. Offsets are emerging as an increasingly employed mechanism for achieving net environmental benefits, with offset policies being advanced in a wide range of countries (i.e., United States, Australia, Brazil, Colombia, and South Africa). To support policy development for biodiversity offsets, we review a set of major offset policy frameworks-US wetlands mitigation, US conservation banking, EU Natura 2000, Australian offset policies in New South Wales, Victoria, and Western Australia, and Brazilian industrial and forest offsets. We compare how the frameworks define offset policy goals, approach the mitigation process, and address six key issues for implementing offsets: (1) equivalence of project impacts with offset gains; (2) location of the offset relative to the impact site; (3) \"additionality\" (a new contribution to conservation) and acceptable types of offsets; (4) timing of project impacts versus offset benefits; (5) offset duration and compliance; and (6) \"currency\" and mitigation replacement ratios. We find substantial policy commonalities that may serve as a sound basis for future development of biodiversity offsets policy. We also identify issues requiring further policy guidance, including how best to: (1) ensure conformance with the mitigation hierarchy; (2) identify the most environmentally preferable offsets within a landscape context; and (3) determine appropriate mitigation replacement ratios.", "author" : [ { "dropping-particle" : "", "family" : "McKenney", "given" : "Bruce a", "non-dropping-particle" : "", "parse-names" : false, "suffix" : "" }, { "dropping-particle" : "", "family" : "Kiesecker", "given" : "Joseph M", "non-dropping-particle" : "", "parse-names" : false, "suffix" : "" } ], "container-title" : "Environmental management", "id" : "ITEM-4", "issue" : "1", "issued" : { "date-parts" : [ [ "2010", "1" ] ] }, "page" : "165-76", "title" : "Policy development for biodiversity offsets: a review of offset frameworks.", "type" : "article-journal", "volume" : "45" }, "uris" : [ "http://www.mendeley.com/documents/?uuid=daf0726c-0f7e-43ab-87ef-2cfaffe3bee2" ] } ], "mendeley" : { "manualFormatting" : "(BBOP 2009a, 2013; McKenney &amp; Kiesecker 2010; ICMM IUCN 2013)", "previouslyFormattedCitation" : "((BBOP) 2009, 2013; McKenney &amp; Kiesecker 2010; Maron &lt;i&gt;et al.&lt;/i&gt; 2012)" }, "properties" : { "noteIndex" : 0 }, "schema" : "https://github.com/citation-style-language/schema/raw/master/csl-citation.json" }</w:instrText>
      </w:r>
      <w:r w:rsidR="002E6AA3" w:rsidRPr="00D961B9">
        <w:rPr>
          <w:rFonts w:ascii="Calibri" w:hAnsi="Calibri"/>
          <w:sz w:val="24"/>
          <w:szCs w:val="24"/>
          <w:lang w:val="en-GB"/>
        </w:rPr>
        <w:fldChar w:fldCharType="separate"/>
      </w:r>
      <w:r w:rsidR="005B7C15" w:rsidRPr="00D961B9">
        <w:rPr>
          <w:rFonts w:ascii="Calibri" w:hAnsi="Calibri"/>
          <w:noProof/>
          <w:sz w:val="24"/>
          <w:szCs w:val="24"/>
          <w:lang w:val="en-GB"/>
        </w:rPr>
        <w:t>(BBOP</w:t>
      </w:r>
      <w:r w:rsidR="00C439D5" w:rsidRPr="00D961B9">
        <w:rPr>
          <w:rFonts w:ascii="Calibri" w:hAnsi="Calibri"/>
          <w:noProof/>
          <w:sz w:val="24"/>
          <w:szCs w:val="24"/>
          <w:lang w:val="en-GB"/>
        </w:rPr>
        <w:t>,</w:t>
      </w:r>
      <w:r w:rsidR="005B7C15" w:rsidRPr="00D961B9">
        <w:rPr>
          <w:rFonts w:ascii="Calibri" w:hAnsi="Calibri"/>
          <w:noProof/>
          <w:sz w:val="24"/>
          <w:szCs w:val="24"/>
          <w:lang w:val="en-GB"/>
        </w:rPr>
        <w:t xml:space="preserve"> 2</w:t>
      </w:r>
      <w:r w:rsidR="004E482D" w:rsidRPr="00D961B9">
        <w:rPr>
          <w:rFonts w:ascii="Calibri" w:hAnsi="Calibri"/>
          <w:noProof/>
          <w:sz w:val="24"/>
          <w:szCs w:val="24"/>
          <w:lang w:val="en-GB"/>
        </w:rPr>
        <w:t xml:space="preserve">009, 2013; McKenney </w:t>
      </w:r>
      <w:r w:rsidR="00C439D5" w:rsidRPr="00D961B9">
        <w:rPr>
          <w:rFonts w:ascii="Calibri" w:hAnsi="Calibri"/>
          <w:noProof/>
          <w:sz w:val="24"/>
          <w:szCs w:val="24"/>
          <w:lang w:val="en-GB"/>
        </w:rPr>
        <w:t>and</w:t>
      </w:r>
      <w:r w:rsidR="004E482D" w:rsidRPr="00D961B9">
        <w:rPr>
          <w:rFonts w:ascii="Calibri" w:hAnsi="Calibri"/>
          <w:noProof/>
          <w:sz w:val="24"/>
          <w:szCs w:val="24"/>
          <w:lang w:val="en-GB"/>
        </w:rPr>
        <w:t xml:space="preserve"> Kiesecker</w:t>
      </w:r>
      <w:r w:rsidR="00C439D5" w:rsidRPr="00D961B9">
        <w:rPr>
          <w:rFonts w:ascii="Calibri" w:hAnsi="Calibri"/>
          <w:noProof/>
          <w:sz w:val="24"/>
          <w:szCs w:val="24"/>
          <w:lang w:val="en-GB"/>
        </w:rPr>
        <w:t>,</w:t>
      </w:r>
      <w:r w:rsidR="005B7C15" w:rsidRPr="00D961B9">
        <w:rPr>
          <w:rFonts w:ascii="Calibri" w:hAnsi="Calibri"/>
          <w:noProof/>
          <w:sz w:val="24"/>
          <w:szCs w:val="24"/>
          <w:lang w:val="en-GB"/>
        </w:rPr>
        <w:t xml:space="preserve"> 2010</w:t>
      </w:r>
      <w:r w:rsidR="00054DB0" w:rsidRPr="00D961B9">
        <w:rPr>
          <w:rFonts w:ascii="Calibri" w:hAnsi="Calibri"/>
          <w:noProof/>
          <w:sz w:val="24"/>
          <w:szCs w:val="24"/>
          <w:lang w:val="en-GB"/>
        </w:rPr>
        <w:t xml:space="preserve">; ICMM </w:t>
      </w:r>
      <w:r w:rsidR="003D183F" w:rsidRPr="00D961B9">
        <w:rPr>
          <w:rFonts w:ascii="Calibri" w:hAnsi="Calibri"/>
          <w:noProof/>
          <w:sz w:val="24"/>
          <w:szCs w:val="24"/>
          <w:lang w:val="en-GB"/>
        </w:rPr>
        <w:t xml:space="preserve">and </w:t>
      </w:r>
      <w:r w:rsidR="00054DB0" w:rsidRPr="00D961B9">
        <w:rPr>
          <w:rFonts w:ascii="Calibri" w:hAnsi="Calibri"/>
          <w:noProof/>
          <w:sz w:val="24"/>
          <w:szCs w:val="24"/>
          <w:lang w:val="en-GB"/>
        </w:rPr>
        <w:t>IUCN</w:t>
      </w:r>
      <w:r w:rsidR="00C439D5" w:rsidRPr="00D961B9">
        <w:rPr>
          <w:rFonts w:ascii="Calibri" w:hAnsi="Calibri"/>
          <w:noProof/>
          <w:sz w:val="24"/>
          <w:szCs w:val="24"/>
          <w:lang w:val="en-GB"/>
        </w:rPr>
        <w:t>,</w:t>
      </w:r>
      <w:r w:rsidR="00054DB0" w:rsidRPr="00D961B9">
        <w:rPr>
          <w:rFonts w:ascii="Calibri" w:hAnsi="Calibri"/>
          <w:noProof/>
          <w:sz w:val="24"/>
          <w:szCs w:val="24"/>
          <w:lang w:val="en-GB"/>
        </w:rPr>
        <w:t xml:space="preserve"> 2013</w:t>
      </w:r>
      <w:r w:rsidR="005B7C15" w:rsidRPr="00D961B9">
        <w:rPr>
          <w:rFonts w:ascii="Calibri" w:hAnsi="Calibri"/>
          <w:noProof/>
          <w:sz w:val="24"/>
          <w:szCs w:val="24"/>
          <w:lang w:val="en-GB"/>
        </w:rPr>
        <w:t>)</w:t>
      </w:r>
      <w:r w:rsidR="002E6AA3" w:rsidRPr="00D961B9">
        <w:rPr>
          <w:rFonts w:ascii="Calibri" w:hAnsi="Calibri"/>
          <w:sz w:val="24"/>
          <w:szCs w:val="24"/>
          <w:lang w:val="en-GB"/>
        </w:rPr>
        <w:fldChar w:fldCharType="end"/>
      </w:r>
      <w:r w:rsidR="00170E18" w:rsidRPr="00D961B9">
        <w:rPr>
          <w:rFonts w:ascii="Calibri" w:hAnsi="Calibri"/>
          <w:sz w:val="24"/>
          <w:szCs w:val="24"/>
          <w:lang w:val="en-GB"/>
        </w:rPr>
        <w:t xml:space="preserve">. </w:t>
      </w:r>
      <w:r w:rsidR="00402ED6" w:rsidRPr="00D961B9">
        <w:rPr>
          <w:rFonts w:ascii="Calibri" w:hAnsi="Calibri"/>
          <w:sz w:val="24"/>
          <w:szCs w:val="24"/>
          <w:lang w:val="en-GB"/>
        </w:rPr>
        <w:t xml:space="preserve">The basic approach is to quantify biodiversity losses </w:t>
      </w:r>
      <w:r w:rsidR="000E547C" w:rsidRPr="00D961B9">
        <w:rPr>
          <w:rFonts w:ascii="Calibri" w:hAnsi="Calibri"/>
          <w:sz w:val="24"/>
          <w:szCs w:val="24"/>
          <w:lang w:val="en-GB"/>
        </w:rPr>
        <w:t xml:space="preserve">that will be </w:t>
      </w:r>
      <w:r w:rsidR="00402ED6" w:rsidRPr="00D961B9">
        <w:rPr>
          <w:rFonts w:ascii="Calibri" w:hAnsi="Calibri"/>
          <w:sz w:val="24"/>
          <w:szCs w:val="24"/>
          <w:lang w:val="en-GB"/>
        </w:rPr>
        <w:t xml:space="preserve">caused by </w:t>
      </w:r>
      <w:r w:rsidR="000E547C" w:rsidRPr="00D961B9">
        <w:rPr>
          <w:rFonts w:ascii="Calibri" w:hAnsi="Calibri"/>
          <w:sz w:val="24"/>
          <w:szCs w:val="24"/>
          <w:lang w:val="en-GB"/>
        </w:rPr>
        <w:t xml:space="preserve">development or extension of </w:t>
      </w:r>
      <w:r w:rsidR="00402ED6" w:rsidRPr="00D961B9">
        <w:rPr>
          <w:rFonts w:ascii="Calibri" w:hAnsi="Calibri"/>
          <w:sz w:val="24"/>
          <w:szCs w:val="24"/>
          <w:lang w:val="en-GB"/>
        </w:rPr>
        <w:t>a mining project that occur even after implementing primary impact mitigation measures, and then to generate biodiversity benefits through compensatory activities that “offset” such residual impacts. Offsetting</w:t>
      </w:r>
      <w:r w:rsidRPr="00D961B9">
        <w:rPr>
          <w:rFonts w:ascii="Calibri" w:hAnsi="Calibri"/>
          <w:sz w:val="24"/>
          <w:szCs w:val="24"/>
          <w:lang w:val="en-GB"/>
        </w:rPr>
        <w:t xml:space="preserve"> measures are designed to achieve </w:t>
      </w:r>
      <w:r w:rsidR="00856E6C" w:rsidRPr="00D961B9">
        <w:rPr>
          <w:rFonts w:ascii="Calibri" w:hAnsi="Calibri"/>
          <w:sz w:val="24"/>
          <w:szCs w:val="24"/>
          <w:lang w:val="en-GB"/>
        </w:rPr>
        <w:t>“no-net-loss”</w:t>
      </w:r>
      <w:r w:rsidR="00402ED6" w:rsidRPr="00D961B9">
        <w:rPr>
          <w:rFonts w:ascii="Calibri" w:hAnsi="Calibri"/>
          <w:sz w:val="24"/>
          <w:szCs w:val="24"/>
          <w:lang w:val="en-GB"/>
        </w:rPr>
        <w:t xml:space="preserve"> or “net-gain”</w:t>
      </w:r>
      <w:r w:rsidR="00F92500" w:rsidRPr="00D961B9">
        <w:rPr>
          <w:rFonts w:ascii="Calibri" w:hAnsi="Calibri"/>
          <w:sz w:val="24"/>
          <w:szCs w:val="24"/>
          <w:lang w:val="en-GB"/>
        </w:rPr>
        <w:t>,</w:t>
      </w:r>
      <w:r w:rsidRPr="00D961B9">
        <w:rPr>
          <w:rFonts w:ascii="Calibri" w:hAnsi="Calibri"/>
          <w:sz w:val="24"/>
          <w:szCs w:val="24"/>
          <w:lang w:val="en-GB"/>
        </w:rPr>
        <w:t xml:space="preserve"> compared to </w:t>
      </w:r>
      <w:r w:rsidR="00402ED6" w:rsidRPr="00D961B9">
        <w:rPr>
          <w:rFonts w:ascii="Calibri" w:hAnsi="Calibri"/>
          <w:sz w:val="24"/>
          <w:szCs w:val="24"/>
          <w:lang w:val="en-GB"/>
        </w:rPr>
        <w:t>a realistic</w:t>
      </w:r>
      <w:r w:rsidRPr="00D961B9">
        <w:rPr>
          <w:rFonts w:ascii="Calibri" w:hAnsi="Calibri"/>
          <w:sz w:val="24"/>
          <w:szCs w:val="24"/>
          <w:lang w:val="en-GB"/>
        </w:rPr>
        <w:t xml:space="preserve"> counterfactual</w:t>
      </w:r>
      <w:r w:rsidR="005E2F65" w:rsidRPr="00D961B9">
        <w:rPr>
          <w:rFonts w:ascii="Calibri" w:hAnsi="Calibri"/>
          <w:sz w:val="24"/>
          <w:szCs w:val="24"/>
          <w:lang w:val="en-GB"/>
        </w:rPr>
        <w:t xml:space="preserve"> </w:t>
      </w:r>
      <w:r w:rsidR="00F92500" w:rsidRPr="00D961B9">
        <w:rPr>
          <w:rFonts w:ascii="Calibri" w:hAnsi="Calibri"/>
          <w:sz w:val="24"/>
          <w:szCs w:val="24"/>
          <w:lang w:val="en-GB"/>
        </w:rPr>
        <w:t xml:space="preserve">scenario (also known as </w:t>
      </w:r>
      <w:r w:rsidR="00402ED6" w:rsidRPr="00D961B9">
        <w:rPr>
          <w:rFonts w:ascii="Calibri" w:hAnsi="Calibri"/>
          <w:sz w:val="24"/>
          <w:szCs w:val="24"/>
          <w:lang w:val="en-GB"/>
        </w:rPr>
        <w:t xml:space="preserve">“business-as-usual” scenario) for the site. </w:t>
      </w:r>
      <w:r w:rsidR="00F92500" w:rsidRPr="00D961B9">
        <w:rPr>
          <w:rFonts w:ascii="Calibri" w:hAnsi="Calibri"/>
          <w:sz w:val="24"/>
          <w:szCs w:val="24"/>
          <w:lang w:val="en-GB"/>
        </w:rPr>
        <w:t xml:space="preserve">This could include, for example, protection of comparable forests under threat or active restoration and recreation of habitat that is lost. Offset activities should ideally create or preserve </w:t>
      </w:r>
      <w:r w:rsidR="000E547C" w:rsidRPr="00D961B9">
        <w:rPr>
          <w:rFonts w:ascii="Calibri" w:hAnsi="Calibri"/>
          <w:sz w:val="24"/>
          <w:szCs w:val="24"/>
          <w:lang w:val="en-GB"/>
        </w:rPr>
        <w:t>“</w:t>
      </w:r>
      <w:r w:rsidR="00F92500" w:rsidRPr="00D961B9">
        <w:rPr>
          <w:rFonts w:ascii="Calibri" w:hAnsi="Calibri"/>
          <w:sz w:val="24"/>
          <w:szCs w:val="24"/>
          <w:lang w:val="en-GB"/>
        </w:rPr>
        <w:t>like-for-like</w:t>
      </w:r>
      <w:r w:rsidR="000E547C" w:rsidRPr="00D961B9">
        <w:rPr>
          <w:rFonts w:ascii="Calibri" w:hAnsi="Calibri"/>
          <w:sz w:val="24"/>
          <w:szCs w:val="24"/>
          <w:lang w:val="en-GB"/>
        </w:rPr>
        <w:t>”</w:t>
      </w:r>
      <w:r w:rsidR="00F92500" w:rsidRPr="00D961B9">
        <w:rPr>
          <w:rFonts w:ascii="Calibri" w:hAnsi="Calibri"/>
          <w:sz w:val="24"/>
          <w:szCs w:val="24"/>
          <w:lang w:val="en-GB"/>
        </w:rPr>
        <w:t xml:space="preserve"> habitat (ecologically equivalent to the impacted area), although some proponents argue that </w:t>
      </w:r>
      <w:r w:rsidR="000E547C" w:rsidRPr="00D961B9">
        <w:rPr>
          <w:rFonts w:ascii="Calibri" w:hAnsi="Calibri"/>
          <w:sz w:val="24"/>
          <w:szCs w:val="24"/>
          <w:lang w:val="en-GB"/>
        </w:rPr>
        <w:t>“</w:t>
      </w:r>
      <w:r w:rsidR="00F92500" w:rsidRPr="00D961B9">
        <w:rPr>
          <w:rFonts w:ascii="Calibri" w:hAnsi="Calibri"/>
          <w:sz w:val="24"/>
          <w:szCs w:val="24"/>
          <w:lang w:val="en-GB"/>
        </w:rPr>
        <w:t>out-of-kind</w:t>
      </w:r>
      <w:r w:rsidR="000E547C" w:rsidRPr="00D961B9">
        <w:rPr>
          <w:rFonts w:ascii="Calibri" w:hAnsi="Calibri"/>
          <w:sz w:val="24"/>
          <w:szCs w:val="24"/>
          <w:lang w:val="en-GB"/>
        </w:rPr>
        <w:t>”</w:t>
      </w:r>
      <w:r w:rsidR="00F92500" w:rsidRPr="00D961B9">
        <w:rPr>
          <w:rFonts w:ascii="Calibri" w:hAnsi="Calibri"/>
          <w:sz w:val="24"/>
          <w:szCs w:val="24"/>
          <w:lang w:val="en-GB"/>
        </w:rPr>
        <w:t xml:space="preserve"> offsets </w:t>
      </w:r>
      <w:r w:rsidR="00D07A66" w:rsidRPr="00D961B9">
        <w:rPr>
          <w:rFonts w:ascii="Calibri" w:hAnsi="Calibri"/>
          <w:sz w:val="24"/>
          <w:szCs w:val="24"/>
          <w:lang w:val="en-GB"/>
        </w:rPr>
        <w:t xml:space="preserve"> (not ecologically equivalent to the impacted area) </w:t>
      </w:r>
      <w:r w:rsidR="00F92500" w:rsidRPr="00D961B9">
        <w:rPr>
          <w:rFonts w:ascii="Calibri" w:hAnsi="Calibri"/>
          <w:sz w:val="24"/>
          <w:szCs w:val="24"/>
          <w:lang w:val="en-GB"/>
        </w:rPr>
        <w:t xml:space="preserve">can be acceptable where offsets </w:t>
      </w:r>
      <w:r w:rsidR="00D07A66" w:rsidRPr="00D961B9">
        <w:rPr>
          <w:rFonts w:ascii="Calibri" w:hAnsi="Calibri"/>
          <w:sz w:val="24"/>
          <w:szCs w:val="24"/>
          <w:lang w:val="en-GB"/>
        </w:rPr>
        <w:t>ensure biodiversity conservation of sites with more</w:t>
      </w:r>
      <w:r w:rsidR="00F92500" w:rsidRPr="00D961B9">
        <w:rPr>
          <w:rFonts w:ascii="Calibri" w:hAnsi="Calibri"/>
          <w:sz w:val="24"/>
          <w:szCs w:val="24"/>
          <w:lang w:val="en-GB"/>
        </w:rPr>
        <w:t xml:space="preserve"> significant</w:t>
      </w:r>
      <w:r w:rsidR="00E14CBA" w:rsidRPr="00D961B9">
        <w:rPr>
          <w:rFonts w:ascii="Calibri" w:hAnsi="Calibri"/>
          <w:sz w:val="24"/>
          <w:szCs w:val="24"/>
          <w:lang w:val="en-GB"/>
        </w:rPr>
        <w:t xml:space="preserve"> </w:t>
      </w:r>
      <w:r w:rsidR="00D07A66" w:rsidRPr="00D961B9">
        <w:rPr>
          <w:rFonts w:ascii="Calibri" w:hAnsi="Calibri"/>
          <w:sz w:val="24"/>
          <w:szCs w:val="24"/>
          <w:lang w:val="en-GB"/>
        </w:rPr>
        <w:t xml:space="preserve"> biodiversity components </w:t>
      </w:r>
      <w:r w:rsidR="00F92500" w:rsidRPr="00D961B9">
        <w:rPr>
          <w:rFonts w:ascii="Calibri" w:hAnsi="Calibri"/>
          <w:sz w:val="24"/>
          <w:szCs w:val="24"/>
          <w:lang w:val="en-GB"/>
        </w:rPr>
        <w:t xml:space="preserve">than </w:t>
      </w:r>
      <w:r w:rsidR="000E547C" w:rsidRPr="00D961B9">
        <w:rPr>
          <w:rFonts w:ascii="Calibri" w:hAnsi="Calibri"/>
          <w:sz w:val="24"/>
          <w:szCs w:val="24"/>
          <w:lang w:val="en-GB"/>
        </w:rPr>
        <w:t xml:space="preserve">the </w:t>
      </w:r>
      <w:r w:rsidR="00F92500" w:rsidRPr="00D961B9">
        <w:rPr>
          <w:rFonts w:ascii="Calibri" w:hAnsi="Calibri"/>
          <w:sz w:val="24"/>
          <w:szCs w:val="24"/>
          <w:lang w:val="en-GB"/>
        </w:rPr>
        <w:t>impacted area</w:t>
      </w:r>
      <w:r w:rsidR="00D07A66" w:rsidRPr="00D961B9">
        <w:rPr>
          <w:rFonts w:ascii="Calibri" w:hAnsi="Calibri"/>
          <w:sz w:val="24"/>
          <w:szCs w:val="24"/>
          <w:lang w:val="en-GB"/>
        </w:rPr>
        <w:t>, ideally at the landscape level</w:t>
      </w:r>
      <w:r w:rsidR="00E14CBA" w:rsidRPr="00D961B9">
        <w:rPr>
          <w:rFonts w:ascii="Calibri" w:hAnsi="Calibri"/>
          <w:sz w:val="24"/>
          <w:szCs w:val="24"/>
          <w:lang w:val="en-GB"/>
        </w:rPr>
        <w:t xml:space="preserve"> (Gardner et al.</w:t>
      </w:r>
      <w:r w:rsidR="00C439D5" w:rsidRPr="00D961B9">
        <w:rPr>
          <w:rFonts w:ascii="Calibri" w:hAnsi="Calibri"/>
          <w:sz w:val="24"/>
          <w:szCs w:val="24"/>
          <w:lang w:val="en-GB"/>
        </w:rPr>
        <w:t>,</w:t>
      </w:r>
      <w:r w:rsidR="00E14CBA" w:rsidRPr="00D961B9">
        <w:rPr>
          <w:rFonts w:ascii="Calibri" w:hAnsi="Calibri"/>
          <w:sz w:val="24"/>
          <w:szCs w:val="24"/>
          <w:lang w:val="en-GB"/>
        </w:rPr>
        <w:t xml:space="preserve"> 2013)</w:t>
      </w:r>
      <w:r w:rsidR="00F92500" w:rsidRPr="00D961B9">
        <w:rPr>
          <w:rFonts w:ascii="Calibri" w:hAnsi="Calibri"/>
          <w:sz w:val="24"/>
          <w:szCs w:val="24"/>
          <w:lang w:val="en-GB"/>
        </w:rPr>
        <w:t xml:space="preserve">. </w:t>
      </w:r>
    </w:p>
    <w:p w14:paraId="1E9246D0" w14:textId="77777777" w:rsidR="009826C9" w:rsidRPr="00D961B9" w:rsidRDefault="009826C9" w:rsidP="000605BC">
      <w:pPr>
        <w:autoSpaceDE w:val="0"/>
        <w:autoSpaceDN w:val="0"/>
        <w:adjustRightInd w:val="0"/>
        <w:spacing w:after="0" w:line="240" w:lineRule="auto"/>
        <w:rPr>
          <w:rFonts w:ascii="Arial" w:hAnsi="Arial" w:cs="Arial"/>
          <w:sz w:val="24"/>
          <w:szCs w:val="24"/>
          <w:lang w:val="en-AU"/>
        </w:rPr>
      </w:pPr>
    </w:p>
    <w:p w14:paraId="6CB35654" w14:textId="1EE1347D" w:rsidR="0084148D" w:rsidRPr="00D961B9" w:rsidRDefault="00170E18">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The mining industry </w:t>
      </w:r>
      <w:r w:rsidR="00071C2E" w:rsidRPr="00D961B9">
        <w:rPr>
          <w:rFonts w:ascii="Calibri" w:hAnsi="Calibri"/>
          <w:sz w:val="24"/>
          <w:szCs w:val="24"/>
          <w:lang w:val="en-GB"/>
        </w:rPr>
        <w:t xml:space="preserve">internationally </w:t>
      </w:r>
      <w:r w:rsidRPr="00D961B9">
        <w:rPr>
          <w:rFonts w:ascii="Calibri" w:hAnsi="Calibri"/>
          <w:sz w:val="24"/>
          <w:szCs w:val="24"/>
          <w:lang w:val="en-GB"/>
        </w:rPr>
        <w:t xml:space="preserve">is spearheading development of biodiversity offsets, not only to conform </w:t>
      </w:r>
      <w:r w:rsidR="00071C2E" w:rsidRPr="00D961B9">
        <w:rPr>
          <w:rFonts w:ascii="Calibri" w:hAnsi="Calibri"/>
          <w:sz w:val="24"/>
          <w:szCs w:val="24"/>
          <w:lang w:val="en-GB"/>
        </w:rPr>
        <w:t>with</w:t>
      </w:r>
      <w:r w:rsidRPr="00D961B9">
        <w:rPr>
          <w:rFonts w:ascii="Calibri" w:hAnsi="Calibri"/>
          <w:sz w:val="24"/>
          <w:szCs w:val="24"/>
          <w:lang w:val="en-GB"/>
        </w:rPr>
        <w:t xml:space="preserve"> national or state regula</w:t>
      </w:r>
      <w:r w:rsidR="00C2527F" w:rsidRPr="00D961B9">
        <w:rPr>
          <w:rFonts w:ascii="Calibri" w:hAnsi="Calibri"/>
          <w:sz w:val="24"/>
          <w:szCs w:val="24"/>
          <w:lang w:val="en-GB"/>
        </w:rPr>
        <w:t xml:space="preserve">tions, but also </w:t>
      </w:r>
      <w:r w:rsidR="009826C9" w:rsidRPr="00D961B9">
        <w:rPr>
          <w:rFonts w:ascii="Calibri" w:hAnsi="Calibri"/>
          <w:sz w:val="24"/>
          <w:szCs w:val="24"/>
          <w:lang w:val="en-GB"/>
        </w:rPr>
        <w:t xml:space="preserve">to reduce reputational risks and </w:t>
      </w:r>
      <w:r w:rsidR="009826C9" w:rsidRPr="00D961B9">
        <w:rPr>
          <w:rFonts w:ascii="Calibri" w:hAnsi="Calibri"/>
          <w:sz w:val="24"/>
          <w:szCs w:val="24"/>
          <w:lang w:val="en-GB"/>
        </w:rPr>
        <w:lastRenderedPageBreak/>
        <w:t xml:space="preserve">to </w:t>
      </w:r>
      <w:r w:rsidR="00C2527F" w:rsidRPr="00D961B9">
        <w:rPr>
          <w:rFonts w:ascii="Calibri" w:hAnsi="Calibri"/>
          <w:sz w:val="24"/>
          <w:szCs w:val="24"/>
          <w:lang w:val="en-GB"/>
        </w:rPr>
        <w:t xml:space="preserve">maintain </w:t>
      </w:r>
      <w:r w:rsidR="00071C2E" w:rsidRPr="00D961B9">
        <w:rPr>
          <w:rFonts w:ascii="Calibri" w:hAnsi="Calibri"/>
          <w:sz w:val="24"/>
          <w:szCs w:val="24"/>
          <w:lang w:val="en-GB"/>
        </w:rPr>
        <w:t>“</w:t>
      </w:r>
      <w:r w:rsidR="00C2527F" w:rsidRPr="00D961B9">
        <w:rPr>
          <w:rFonts w:ascii="Calibri" w:hAnsi="Calibri"/>
          <w:sz w:val="24"/>
          <w:szCs w:val="24"/>
          <w:lang w:val="en-GB"/>
        </w:rPr>
        <w:t>social licence to operate</w:t>
      </w:r>
      <w:r w:rsidR="00071C2E" w:rsidRPr="00D961B9">
        <w:rPr>
          <w:rFonts w:ascii="Calibri" w:hAnsi="Calibri"/>
          <w:sz w:val="24"/>
          <w:szCs w:val="24"/>
          <w:lang w:val="en-GB"/>
        </w:rPr>
        <w:t>”</w:t>
      </w:r>
      <w:r w:rsidR="00BE2AD2" w:rsidRPr="00D961B9">
        <w:rPr>
          <w:rFonts w:ascii="Calibri" w:hAnsi="Calibri"/>
          <w:sz w:val="24"/>
          <w:szCs w:val="24"/>
          <w:lang w:val="en-GB"/>
        </w:rPr>
        <w:t xml:space="preserve"> (</w:t>
      </w:r>
      <w:r w:rsidR="00BE2AD2" w:rsidRPr="00D961B9">
        <w:rPr>
          <w:rFonts w:ascii="Calibri" w:hAnsi="Calibri"/>
          <w:noProof/>
          <w:sz w:val="24"/>
          <w:szCs w:val="24"/>
          <w:lang w:val="en-GB"/>
        </w:rPr>
        <w:t>ICMM and IUCN</w:t>
      </w:r>
      <w:r w:rsidR="00C439D5" w:rsidRPr="00D961B9">
        <w:rPr>
          <w:rFonts w:ascii="Calibri" w:hAnsi="Calibri"/>
          <w:noProof/>
          <w:sz w:val="24"/>
          <w:szCs w:val="24"/>
          <w:lang w:val="en-GB"/>
        </w:rPr>
        <w:t>,</w:t>
      </w:r>
      <w:r w:rsidR="00BE2AD2" w:rsidRPr="00D961B9">
        <w:rPr>
          <w:rFonts w:ascii="Calibri" w:hAnsi="Calibri"/>
          <w:noProof/>
          <w:sz w:val="24"/>
          <w:szCs w:val="24"/>
          <w:lang w:val="en-GB"/>
        </w:rPr>
        <w:t xml:space="preserve"> 2013)</w:t>
      </w:r>
      <w:r w:rsidR="00F05DC7" w:rsidRPr="00D961B9">
        <w:rPr>
          <w:rFonts w:ascii="Calibri" w:hAnsi="Calibri"/>
          <w:sz w:val="24"/>
          <w:szCs w:val="24"/>
          <w:lang w:val="en-GB"/>
        </w:rPr>
        <w:t>. There is also an</w:t>
      </w:r>
      <w:r w:rsidR="008728D6" w:rsidRPr="00D961B9">
        <w:rPr>
          <w:rFonts w:ascii="Calibri" w:hAnsi="Calibri"/>
          <w:sz w:val="24"/>
          <w:szCs w:val="24"/>
          <w:lang w:val="en-GB"/>
        </w:rPr>
        <w:t xml:space="preserve"> increasing trend for biodiversity offsets to become an integral part of corporate social responsibility programs. </w:t>
      </w:r>
      <w:r w:rsidRPr="00D961B9">
        <w:rPr>
          <w:rFonts w:ascii="Calibri" w:hAnsi="Calibri"/>
          <w:sz w:val="24"/>
          <w:szCs w:val="24"/>
          <w:lang w:val="en-GB"/>
        </w:rPr>
        <w:t xml:space="preserve">For example, </w:t>
      </w:r>
      <w:r w:rsidR="009826C9" w:rsidRPr="00D961B9">
        <w:rPr>
          <w:rFonts w:ascii="Calibri" w:hAnsi="Calibri"/>
          <w:sz w:val="24"/>
          <w:szCs w:val="24"/>
          <w:lang w:val="en-GB"/>
        </w:rPr>
        <w:t>the mining giant</w:t>
      </w:r>
      <w:r w:rsidRPr="00D961B9">
        <w:rPr>
          <w:rFonts w:ascii="Calibri" w:hAnsi="Calibri"/>
          <w:sz w:val="24"/>
          <w:szCs w:val="24"/>
          <w:lang w:val="en-GB"/>
        </w:rPr>
        <w:t xml:space="preserve"> Rio Tinto </w:t>
      </w:r>
      <w:r w:rsidR="009826C9" w:rsidRPr="00D961B9">
        <w:rPr>
          <w:rFonts w:ascii="Calibri" w:hAnsi="Calibri"/>
          <w:sz w:val="24"/>
          <w:szCs w:val="24"/>
          <w:lang w:val="en-GB"/>
        </w:rPr>
        <w:t xml:space="preserve">has </w:t>
      </w:r>
      <w:r w:rsidRPr="00D961B9">
        <w:rPr>
          <w:rFonts w:ascii="Calibri" w:hAnsi="Calibri"/>
          <w:sz w:val="24"/>
          <w:szCs w:val="24"/>
          <w:lang w:val="en-GB"/>
        </w:rPr>
        <w:t xml:space="preserve">pledged that </w:t>
      </w:r>
      <w:r w:rsidR="009826C9" w:rsidRPr="00D961B9">
        <w:rPr>
          <w:rFonts w:ascii="Calibri" w:hAnsi="Calibri"/>
          <w:sz w:val="24"/>
          <w:szCs w:val="24"/>
          <w:lang w:val="en-GB"/>
        </w:rPr>
        <w:t xml:space="preserve">its </w:t>
      </w:r>
      <w:r w:rsidR="00F66AF5" w:rsidRPr="00D961B9">
        <w:rPr>
          <w:rFonts w:ascii="Calibri" w:hAnsi="Calibri"/>
          <w:sz w:val="24"/>
          <w:szCs w:val="24"/>
          <w:lang w:val="en-GB"/>
        </w:rPr>
        <w:t>activities</w:t>
      </w:r>
      <w:r w:rsidRPr="00D961B9">
        <w:rPr>
          <w:rFonts w:ascii="Calibri" w:hAnsi="Calibri"/>
          <w:sz w:val="24"/>
          <w:szCs w:val="24"/>
          <w:lang w:val="en-GB"/>
        </w:rPr>
        <w:t xml:space="preserve"> will create a </w:t>
      </w:r>
      <w:r w:rsidR="0041398B" w:rsidRPr="00D961B9">
        <w:rPr>
          <w:rFonts w:ascii="Calibri" w:hAnsi="Calibri"/>
          <w:sz w:val="24"/>
          <w:szCs w:val="24"/>
          <w:lang w:val="en-GB"/>
        </w:rPr>
        <w:t>“</w:t>
      </w:r>
      <w:r w:rsidRPr="00D961B9">
        <w:rPr>
          <w:rFonts w:ascii="Calibri" w:hAnsi="Calibri"/>
          <w:sz w:val="24"/>
          <w:szCs w:val="24"/>
          <w:lang w:val="en-GB"/>
        </w:rPr>
        <w:t>net positive impact</w:t>
      </w:r>
      <w:r w:rsidR="00F66AF5" w:rsidRPr="00D961B9">
        <w:rPr>
          <w:rFonts w:ascii="Calibri" w:hAnsi="Calibri"/>
          <w:sz w:val="24"/>
          <w:szCs w:val="24"/>
          <w:lang w:val="en-GB"/>
        </w:rPr>
        <w:t>”</w:t>
      </w:r>
      <w:r w:rsidRPr="00D961B9">
        <w:rPr>
          <w:rFonts w:ascii="Calibri" w:hAnsi="Calibri"/>
          <w:sz w:val="24"/>
          <w:szCs w:val="24"/>
          <w:lang w:val="en-GB"/>
        </w:rPr>
        <w:t xml:space="preserve"> on biodiversity, and offsets </w:t>
      </w:r>
      <w:r w:rsidR="00F66AF5" w:rsidRPr="00D961B9">
        <w:rPr>
          <w:rFonts w:ascii="Calibri" w:hAnsi="Calibri"/>
          <w:sz w:val="24"/>
          <w:szCs w:val="24"/>
          <w:lang w:val="en-GB"/>
        </w:rPr>
        <w:t>are</w:t>
      </w:r>
      <w:r w:rsidR="005A6042" w:rsidRPr="00D961B9">
        <w:rPr>
          <w:rFonts w:ascii="Calibri" w:hAnsi="Calibri"/>
          <w:sz w:val="24"/>
          <w:szCs w:val="24"/>
          <w:lang w:val="en-GB"/>
        </w:rPr>
        <w:t xml:space="preserve"> expected</w:t>
      </w:r>
      <w:r w:rsidR="00F66AF5" w:rsidRPr="00D961B9">
        <w:rPr>
          <w:rFonts w:ascii="Calibri" w:hAnsi="Calibri"/>
          <w:sz w:val="24"/>
          <w:szCs w:val="24"/>
          <w:lang w:val="en-GB"/>
        </w:rPr>
        <w:t xml:space="preserve"> to </w:t>
      </w:r>
      <w:r w:rsidRPr="00D961B9">
        <w:rPr>
          <w:rFonts w:ascii="Calibri" w:hAnsi="Calibri"/>
          <w:sz w:val="24"/>
          <w:szCs w:val="24"/>
          <w:lang w:val="en-GB"/>
        </w:rPr>
        <w:t>play an important role in meeting this objective</w:t>
      </w:r>
      <w:r w:rsidR="005B7C15" w:rsidRPr="00D961B9">
        <w:rPr>
          <w:rFonts w:ascii="Calibri" w:hAnsi="Calibri"/>
          <w:sz w:val="24"/>
          <w:szCs w:val="24"/>
          <w:lang w:val="en-GB"/>
        </w:rPr>
        <w:t xml:space="preserve"> </w:t>
      </w:r>
      <w:r w:rsidR="002E6AA3" w:rsidRPr="00D961B9">
        <w:rPr>
          <w:rFonts w:ascii="Calibri" w:hAnsi="Calibri"/>
          <w:sz w:val="24"/>
          <w:szCs w:val="24"/>
          <w:lang w:val="en-GB"/>
        </w:rPr>
        <w:fldChar w:fldCharType="begin" w:fldLock="1"/>
      </w:r>
      <w:r w:rsidR="00CF55F0" w:rsidRPr="00D961B9">
        <w:rPr>
          <w:rFonts w:ascii="Calibri" w:hAnsi="Calibri"/>
          <w:sz w:val="24"/>
          <w:szCs w:val="24"/>
          <w:lang w:val="en-GB"/>
        </w:rPr>
        <w:instrText>ADDIN CSL_CITATION { "citationItems" : [ { "id" : "ITEM-1", "itemData" : { "author" : [ { "dropping-particle" : "", "family" : "Rio Tinto", "given" : "", "non-dropping-particle" : "", "parse-names" : false, "suffix" : "" } ], "id" : "ITEM-1", "issued" : { "date-parts" : [ [ "2008" ] ] }, "publisher-place" : "London, United Kingdon and Melbourne, Australia", "title" : "Rio Tinto and biodiversity. Achieving results on the ground.", "type" : "report" }, "uris" : [ "http://www.mendeley.com/documents/?uuid=18f9b029-e27a-46c6-8440-2b1eb2e3190d" ] } ], "mendeley" : { "previouslyFormattedCitation" : "(Rio Tinto 2008)" }, "properties" : { "noteIndex" : 0 }, "schema" : "https://github.com/citation-style-language/schema/raw/master/csl-citation.json" }</w:instrText>
      </w:r>
      <w:r w:rsidR="002E6AA3" w:rsidRPr="00D961B9">
        <w:rPr>
          <w:rFonts w:ascii="Calibri" w:hAnsi="Calibri"/>
          <w:sz w:val="24"/>
          <w:szCs w:val="24"/>
          <w:lang w:val="en-GB"/>
        </w:rPr>
        <w:fldChar w:fldCharType="separate"/>
      </w:r>
      <w:r w:rsidR="004E482D" w:rsidRPr="00D961B9">
        <w:rPr>
          <w:rFonts w:ascii="Calibri" w:hAnsi="Calibri"/>
          <w:noProof/>
          <w:sz w:val="24"/>
          <w:szCs w:val="24"/>
          <w:lang w:val="en-GB"/>
        </w:rPr>
        <w:t>(Rio Tinto</w:t>
      </w:r>
      <w:r w:rsidR="00C439D5" w:rsidRPr="00D961B9">
        <w:rPr>
          <w:rFonts w:ascii="Calibri" w:hAnsi="Calibri"/>
          <w:noProof/>
          <w:sz w:val="24"/>
          <w:szCs w:val="24"/>
          <w:lang w:val="en-GB"/>
        </w:rPr>
        <w:t>,</w:t>
      </w:r>
      <w:r w:rsidR="004E482D" w:rsidRPr="00D961B9">
        <w:rPr>
          <w:rFonts w:ascii="Calibri" w:hAnsi="Calibri"/>
          <w:noProof/>
          <w:sz w:val="24"/>
          <w:szCs w:val="24"/>
          <w:lang w:val="en-GB"/>
        </w:rPr>
        <w:t xml:space="preserve"> 2008)</w:t>
      </w:r>
      <w:r w:rsidR="002E6AA3" w:rsidRPr="00D961B9">
        <w:rPr>
          <w:rFonts w:ascii="Calibri" w:hAnsi="Calibri"/>
          <w:sz w:val="24"/>
          <w:szCs w:val="24"/>
          <w:lang w:val="en-GB"/>
        </w:rPr>
        <w:fldChar w:fldCharType="end"/>
      </w:r>
      <w:r w:rsidRPr="00D961B9">
        <w:rPr>
          <w:rFonts w:ascii="Calibri" w:hAnsi="Calibri"/>
          <w:sz w:val="24"/>
          <w:szCs w:val="24"/>
          <w:lang w:val="en-GB"/>
        </w:rPr>
        <w:t xml:space="preserve">. </w:t>
      </w:r>
      <w:r w:rsidR="00071C2E" w:rsidRPr="00D961B9">
        <w:rPr>
          <w:rFonts w:ascii="Calibri" w:hAnsi="Calibri"/>
          <w:sz w:val="24"/>
          <w:szCs w:val="24"/>
          <w:lang w:val="en-GB"/>
        </w:rPr>
        <w:t>Also s</w:t>
      </w:r>
      <w:r w:rsidRPr="00D961B9">
        <w:rPr>
          <w:rFonts w:ascii="Calibri" w:hAnsi="Calibri"/>
          <w:sz w:val="24"/>
          <w:szCs w:val="24"/>
          <w:lang w:val="en-GB"/>
        </w:rPr>
        <w:t>everal major investors (e.g. International Finance Corpora</w:t>
      </w:r>
      <w:r w:rsidR="00F05DC7" w:rsidRPr="00D961B9">
        <w:rPr>
          <w:rFonts w:ascii="Calibri" w:hAnsi="Calibri"/>
          <w:sz w:val="24"/>
          <w:szCs w:val="24"/>
          <w:lang w:val="en-GB"/>
        </w:rPr>
        <w:t>tion) have also i</w:t>
      </w:r>
      <w:r w:rsidR="00856E6C" w:rsidRPr="00D961B9">
        <w:rPr>
          <w:rFonts w:ascii="Calibri" w:hAnsi="Calibri"/>
          <w:sz w:val="24"/>
          <w:szCs w:val="24"/>
          <w:lang w:val="en-GB"/>
        </w:rPr>
        <w:t>ncorporated  “no-net-loss”</w:t>
      </w:r>
      <w:r w:rsidRPr="00D961B9">
        <w:rPr>
          <w:rFonts w:ascii="Calibri" w:hAnsi="Calibri"/>
          <w:sz w:val="24"/>
          <w:szCs w:val="24"/>
          <w:lang w:val="en-GB"/>
        </w:rPr>
        <w:t xml:space="preserve"> principles for biodiversity into their i</w:t>
      </w:r>
      <w:r w:rsidR="000E3AD4" w:rsidRPr="00D961B9">
        <w:rPr>
          <w:rFonts w:ascii="Calibri" w:hAnsi="Calibri"/>
          <w:sz w:val="24"/>
          <w:szCs w:val="24"/>
          <w:lang w:val="en-GB"/>
        </w:rPr>
        <w:t>nvestment safeguards policies</w:t>
      </w:r>
      <w:r w:rsidR="00D33BBB" w:rsidRPr="00D961B9">
        <w:rPr>
          <w:rFonts w:ascii="Calibri" w:hAnsi="Calibri"/>
          <w:sz w:val="24"/>
          <w:szCs w:val="24"/>
          <w:lang w:val="en-GB"/>
        </w:rPr>
        <w:t xml:space="preserve"> </w:t>
      </w:r>
      <w:r w:rsidR="002E6AA3" w:rsidRPr="00D961B9">
        <w:rPr>
          <w:rFonts w:ascii="Calibri" w:hAnsi="Calibri"/>
          <w:sz w:val="24"/>
          <w:szCs w:val="24"/>
          <w:lang w:val="en-GB"/>
        </w:rPr>
        <w:fldChar w:fldCharType="begin" w:fldLock="1"/>
      </w:r>
      <w:r w:rsidR="00CF55F0" w:rsidRPr="00D961B9">
        <w:rPr>
          <w:rFonts w:ascii="Calibri" w:hAnsi="Calibri"/>
          <w:sz w:val="24"/>
          <w:szCs w:val="24"/>
          <w:lang w:val="en-GB"/>
        </w:rPr>
        <w:instrText>ADDIN CSL_CITATION { "citationItems" : [ { "id" : "ITEM-1", "itemData" : { "DOI" : "ISBN: 978-1-909434-04-2", "author" : [ { "dropping-particle" : "", "family" : "International Council on Mining and Metals (ICMM)", "given" : "", "non-dropping-particle" : "", "parse-names" : false, "suffix" : "" } ], "id" : "ITEM-1", "issue" : "January", "issued" : { "date-parts" : [ [ "2013" ] ] }, "title" : "Independent report on biodiversity offsets", "type" : "report" }, "uris" : [ "http://www.mendeley.com/documents/?uuid=5814fd40-8e79-4655-aa82-9a4ac9f1bbf5" ] } ], "mendeley" : { "manualFormatting" : "(ICMM IUCN 2013)", "previouslyFormattedCitation" : "(International Council on Mining and Metals (ICMM) 2013)" }, "properties" : { "noteIndex" : 0 }, "schema" : "https://github.com/citation-style-language/schema/raw/master/csl-citation.json" }</w:instrText>
      </w:r>
      <w:r w:rsidR="002E6AA3" w:rsidRPr="00D961B9">
        <w:rPr>
          <w:rFonts w:ascii="Calibri" w:hAnsi="Calibri"/>
          <w:sz w:val="24"/>
          <w:szCs w:val="24"/>
          <w:lang w:val="en-GB"/>
        </w:rPr>
        <w:fldChar w:fldCharType="separate"/>
      </w:r>
      <w:r w:rsidR="007A09A7" w:rsidRPr="00D961B9">
        <w:rPr>
          <w:rFonts w:ascii="Calibri" w:hAnsi="Calibri"/>
          <w:noProof/>
          <w:sz w:val="24"/>
          <w:szCs w:val="24"/>
          <w:lang w:val="en-GB"/>
        </w:rPr>
        <w:t>(ICMM</w:t>
      </w:r>
      <w:r w:rsidR="006B7B03" w:rsidRPr="00D961B9">
        <w:rPr>
          <w:rFonts w:ascii="Calibri" w:hAnsi="Calibri"/>
          <w:noProof/>
          <w:sz w:val="24"/>
          <w:szCs w:val="24"/>
          <w:lang w:val="en-GB"/>
        </w:rPr>
        <w:t xml:space="preserve"> </w:t>
      </w:r>
      <w:r w:rsidR="00692382" w:rsidRPr="00D961B9">
        <w:rPr>
          <w:rFonts w:ascii="Calibri" w:hAnsi="Calibri"/>
          <w:noProof/>
          <w:sz w:val="24"/>
          <w:szCs w:val="24"/>
          <w:lang w:val="en-GB"/>
        </w:rPr>
        <w:t xml:space="preserve">and </w:t>
      </w:r>
      <w:r w:rsidR="006B7B03" w:rsidRPr="00D961B9">
        <w:rPr>
          <w:rFonts w:ascii="Calibri" w:hAnsi="Calibri"/>
          <w:noProof/>
          <w:sz w:val="24"/>
          <w:szCs w:val="24"/>
          <w:lang w:val="en-GB"/>
        </w:rPr>
        <w:t>IUCN</w:t>
      </w:r>
      <w:r w:rsidR="00C439D5" w:rsidRPr="00D961B9">
        <w:rPr>
          <w:rFonts w:ascii="Calibri" w:hAnsi="Calibri"/>
          <w:noProof/>
          <w:sz w:val="24"/>
          <w:szCs w:val="24"/>
          <w:lang w:val="en-GB"/>
        </w:rPr>
        <w:t>,</w:t>
      </w:r>
      <w:r w:rsidR="007A09A7" w:rsidRPr="00D961B9">
        <w:rPr>
          <w:rFonts w:ascii="Calibri" w:hAnsi="Calibri"/>
          <w:noProof/>
          <w:sz w:val="24"/>
          <w:szCs w:val="24"/>
          <w:lang w:val="en-GB"/>
        </w:rPr>
        <w:t xml:space="preserve"> 2013)</w:t>
      </w:r>
      <w:r w:rsidR="002E6AA3" w:rsidRPr="00D961B9">
        <w:rPr>
          <w:rFonts w:ascii="Calibri" w:hAnsi="Calibri"/>
          <w:sz w:val="24"/>
          <w:szCs w:val="24"/>
          <w:lang w:val="en-GB"/>
        </w:rPr>
        <w:fldChar w:fldCharType="end"/>
      </w:r>
      <w:r w:rsidR="000E3AD4" w:rsidRPr="00D961B9">
        <w:rPr>
          <w:rFonts w:ascii="Calibri" w:hAnsi="Calibri"/>
          <w:sz w:val="24"/>
          <w:szCs w:val="24"/>
          <w:lang w:val="en-GB"/>
        </w:rPr>
        <w:t xml:space="preserve">. </w:t>
      </w:r>
    </w:p>
    <w:p w14:paraId="3703BA45" w14:textId="77777777" w:rsidR="00F66AF5" w:rsidRPr="00D961B9" w:rsidRDefault="00F66AF5" w:rsidP="00F66AF5">
      <w:pPr>
        <w:autoSpaceDE w:val="0"/>
        <w:autoSpaceDN w:val="0"/>
        <w:adjustRightInd w:val="0"/>
        <w:spacing w:after="0" w:line="240" w:lineRule="auto"/>
        <w:rPr>
          <w:rFonts w:ascii="Arial" w:hAnsi="Arial" w:cs="Arial"/>
          <w:sz w:val="24"/>
          <w:szCs w:val="24"/>
          <w:lang w:val="en-AU"/>
        </w:rPr>
      </w:pPr>
    </w:p>
    <w:p w14:paraId="250DB652" w14:textId="40A76864" w:rsidR="00732A7B" w:rsidRPr="00D961B9" w:rsidRDefault="008728D6" w:rsidP="00732A7B">
      <w:pPr>
        <w:autoSpaceDE w:val="0"/>
        <w:autoSpaceDN w:val="0"/>
        <w:adjustRightInd w:val="0"/>
        <w:spacing w:after="0" w:line="288" w:lineRule="auto"/>
        <w:rPr>
          <w:rFonts w:ascii="Calibri" w:hAnsi="Calibri"/>
          <w:sz w:val="24"/>
          <w:szCs w:val="24"/>
          <w:lang w:val="en-AU"/>
        </w:rPr>
      </w:pPr>
      <w:r w:rsidRPr="00D961B9">
        <w:rPr>
          <w:rFonts w:ascii="Calibri" w:hAnsi="Calibri"/>
          <w:sz w:val="24"/>
          <w:szCs w:val="24"/>
          <w:lang w:val="en-GB"/>
        </w:rPr>
        <w:t>Relying on offsets to avoid net biodiversity loss, however, requires a high level of certainty in their ecological integrity where they are used to “sanction” the loss of valuable habitat or rare species</w:t>
      </w:r>
      <w:r w:rsidR="00F66AF5" w:rsidRPr="00D961B9">
        <w:rPr>
          <w:rFonts w:ascii="Calibri" w:hAnsi="Calibri"/>
          <w:sz w:val="24"/>
          <w:szCs w:val="24"/>
          <w:lang w:val="en-GB"/>
        </w:rPr>
        <w:t xml:space="preserve">. </w:t>
      </w:r>
      <w:r w:rsidR="008A62FE" w:rsidRPr="00D961B9">
        <w:rPr>
          <w:rFonts w:ascii="Calibri" w:hAnsi="Calibri"/>
          <w:sz w:val="24"/>
          <w:szCs w:val="24"/>
          <w:lang w:val="en-GB"/>
        </w:rPr>
        <w:t>Given the complexity of the</w:t>
      </w:r>
      <w:r w:rsidRPr="00D961B9">
        <w:rPr>
          <w:rFonts w:ascii="Calibri" w:hAnsi="Calibri"/>
          <w:sz w:val="24"/>
          <w:szCs w:val="24"/>
          <w:lang w:val="en-GB"/>
        </w:rPr>
        <w:t xml:space="preserve"> concept and the importance of “getting it right” from a scientific perspective</w:t>
      </w:r>
      <w:r w:rsidR="008A62FE" w:rsidRPr="00D961B9">
        <w:rPr>
          <w:rFonts w:ascii="Calibri" w:hAnsi="Calibri"/>
          <w:sz w:val="24"/>
          <w:szCs w:val="24"/>
          <w:lang w:val="en-GB"/>
        </w:rPr>
        <w:t xml:space="preserve">, it is not surprising that a number of </w:t>
      </w:r>
      <w:r w:rsidR="00170E18" w:rsidRPr="00D961B9">
        <w:rPr>
          <w:rFonts w:ascii="Calibri" w:hAnsi="Calibri"/>
          <w:sz w:val="24"/>
          <w:szCs w:val="24"/>
          <w:lang w:val="en-GB"/>
        </w:rPr>
        <w:t>criticisms have been levelled at biodiversity offsetting</w:t>
      </w:r>
      <w:r w:rsidR="008A62FE" w:rsidRPr="00D961B9">
        <w:rPr>
          <w:rFonts w:ascii="Calibri" w:hAnsi="Calibri"/>
          <w:sz w:val="24"/>
          <w:szCs w:val="24"/>
          <w:lang w:val="en-GB"/>
        </w:rPr>
        <w:t xml:space="preserve">. </w:t>
      </w:r>
      <w:r w:rsidR="00E14CBA" w:rsidRPr="00D961B9">
        <w:rPr>
          <w:rFonts w:ascii="Calibri" w:hAnsi="Calibri"/>
          <w:sz w:val="24"/>
          <w:szCs w:val="24"/>
          <w:lang w:val="en-GB"/>
        </w:rPr>
        <w:t xml:space="preserve">These concerns have included the absence of clear guidance for biodiversity </w:t>
      </w:r>
      <w:r w:rsidR="00C439D5" w:rsidRPr="00D961B9">
        <w:rPr>
          <w:rFonts w:ascii="Calibri" w:hAnsi="Calibri"/>
          <w:sz w:val="24"/>
          <w:szCs w:val="24"/>
          <w:lang w:val="en-GB"/>
        </w:rPr>
        <w:t>accounting frameworks</w:t>
      </w:r>
      <w:r w:rsidR="00436CB2" w:rsidRPr="00D961B9">
        <w:rPr>
          <w:rFonts w:ascii="Calibri" w:hAnsi="Calibri"/>
          <w:sz w:val="24"/>
          <w:szCs w:val="24"/>
          <w:lang w:val="en-GB"/>
        </w:rPr>
        <w:t xml:space="preserve"> (Gardner et al., 2013)</w:t>
      </w:r>
      <w:r w:rsidR="00E14CBA" w:rsidRPr="00D961B9">
        <w:rPr>
          <w:rFonts w:ascii="Calibri" w:hAnsi="Calibri"/>
          <w:sz w:val="24"/>
          <w:szCs w:val="24"/>
          <w:lang w:val="en-GB"/>
        </w:rPr>
        <w:t>, lack of evidence of</w:t>
      </w:r>
      <w:r w:rsidR="00C439D5" w:rsidRPr="00D961B9">
        <w:rPr>
          <w:rFonts w:ascii="Calibri" w:hAnsi="Calibri"/>
          <w:sz w:val="24"/>
          <w:szCs w:val="24"/>
          <w:lang w:val="en-GB"/>
        </w:rPr>
        <w:t xml:space="preserve"> actual effectiveness (Gibbons and</w:t>
      </w:r>
      <w:r w:rsidR="00E14CBA" w:rsidRPr="00D961B9">
        <w:rPr>
          <w:rFonts w:ascii="Calibri" w:hAnsi="Calibri"/>
          <w:sz w:val="24"/>
          <w:szCs w:val="24"/>
          <w:lang w:val="en-GB"/>
        </w:rPr>
        <w:t xml:space="preserve"> Lindenmayer</w:t>
      </w:r>
      <w:r w:rsidR="00C439D5" w:rsidRPr="00D961B9">
        <w:rPr>
          <w:rFonts w:ascii="Calibri" w:hAnsi="Calibri"/>
          <w:sz w:val="24"/>
          <w:szCs w:val="24"/>
          <w:lang w:val="en-GB"/>
        </w:rPr>
        <w:t>,</w:t>
      </w:r>
      <w:r w:rsidR="00E14CBA" w:rsidRPr="00D961B9">
        <w:rPr>
          <w:rFonts w:ascii="Calibri" w:hAnsi="Calibri"/>
          <w:sz w:val="24"/>
          <w:szCs w:val="24"/>
          <w:lang w:val="en-GB"/>
        </w:rPr>
        <w:t xml:space="preserve"> 2007), insufficient governance support to ensure offsets do </w:t>
      </w:r>
      <w:r w:rsidR="00C439D5" w:rsidRPr="00D961B9">
        <w:rPr>
          <w:rFonts w:ascii="Calibri" w:hAnsi="Calibri"/>
          <w:sz w:val="24"/>
          <w:szCs w:val="24"/>
          <w:lang w:val="en-GB"/>
        </w:rPr>
        <w:t>not undermine</w:t>
      </w:r>
      <w:r w:rsidR="00E14CBA" w:rsidRPr="00D961B9">
        <w:rPr>
          <w:rFonts w:ascii="Calibri" w:hAnsi="Calibri"/>
          <w:sz w:val="24"/>
          <w:szCs w:val="24"/>
          <w:lang w:val="en-GB"/>
        </w:rPr>
        <w:t xml:space="preserve"> crucial prior steps in the mitigation hierarchy, and ensuring risks are fully taken into account (Gar</w:t>
      </w:r>
      <w:r w:rsidR="00C439D5" w:rsidRPr="00D961B9">
        <w:rPr>
          <w:rFonts w:ascii="Calibri" w:hAnsi="Calibri"/>
          <w:sz w:val="24"/>
          <w:szCs w:val="24"/>
          <w:lang w:val="en-GB"/>
        </w:rPr>
        <w:t>d</w:t>
      </w:r>
      <w:r w:rsidR="00E14CBA" w:rsidRPr="00D961B9">
        <w:rPr>
          <w:rFonts w:ascii="Calibri" w:hAnsi="Calibri"/>
          <w:sz w:val="24"/>
          <w:szCs w:val="24"/>
          <w:lang w:val="en-GB"/>
        </w:rPr>
        <w:t>ner et al.</w:t>
      </w:r>
      <w:r w:rsidR="00C439D5" w:rsidRPr="00D961B9">
        <w:rPr>
          <w:rFonts w:ascii="Calibri" w:hAnsi="Calibri"/>
          <w:sz w:val="24"/>
          <w:szCs w:val="24"/>
          <w:lang w:val="en-GB"/>
        </w:rPr>
        <w:t>,</w:t>
      </w:r>
      <w:r w:rsidR="00E14CBA" w:rsidRPr="00D961B9">
        <w:rPr>
          <w:rFonts w:ascii="Calibri" w:hAnsi="Calibri"/>
          <w:sz w:val="24"/>
          <w:szCs w:val="24"/>
          <w:lang w:val="en-GB"/>
        </w:rPr>
        <w:t xml:space="preserve"> 2013). </w:t>
      </w:r>
      <w:r w:rsidR="00E14CBA" w:rsidRPr="00D961B9">
        <w:rPr>
          <w:rFonts w:ascii="Calibri" w:hAnsi="Calibri"/>
          <w:sz w:val="24"/>
          <w:szCs w:val="24"/>
          <w:lang w:val="en-AU"/>
        </w:rPr>
        <w:t xml:space="preserve"> </w:t>
      </w:r>
      <w:r w:rsidR="00732A7B" w:rsidRPr="00D961B9">
        <w:rPr>
          <w:rFonts w:ascii="Calibri" w:hAnsi="Calibri"/>
          <w:sz w:val="24"/>
          <w:szCs w:val="24"/>
          <w:lang w:val="en-AU"/>
        </w:rPr>
        <w:t xml:space="preserve">Thus, how to ensure that critical factors of risk, effectiveness and permanence, are adequately taken into account in a biodiversity accounting framework, still remains a challenge, and without properly accounting for these parameters, it is difficult to measure the “no-net-loss” principle. </w:t>
      </w:r>
    </w:p>
    <w:p w14:paraId="1A1825AF" w14:textId="77777777" w:rsidR="00732A7B" w:rsidRPr="00D961B9" w:rsidRDefault="00732A7B" w:rsidP="00732A7B">
      <w:pPr>
        <w:autoSpaceDE w:val="0"/>
        <w:autoSpaceDN w:val="0"/>
        <w:adjustRightInd w:val="0"/>
        <w:spacing w:after="0" w:line="288" w:lineRule="auto"/>
        <w:rPr>
          <w:rFonts w:ascii="Calibri" w:hAnsi="Calibri"/>
          <w:sz w:val="24"/>
          <w:szCs w:val="24"/>
          <w:lang w:val="en-AU"/>
        </w:rPr>
      </w:pPr>
    </w:p>
    <w:p w14:paraId="2B6A5F66" w14:textId="715C9B04" w:rsidR="001D1511" w:rsidRPr="00D961B9" w:rsidRDefault="001D1511" w:rsidP="00E14CBA">
      <w:pPr>
        <w:autoSpaceDE w:val="0"/>
        <w:autoSpaceDN w:val="0"/>
        <w:adjustRightInd w:val="0"/>
        <w:spacing w:after="0" w:line="288" w:lineRule="auto"/>
        <w:rPr>
          <w:rFonts w:ascii="Calibri" w:hAnsi="Calibri"/>
          <w:sz w:val="24"/>
          <w:szCs w:val="24"/>
          <w:lang w:val="en-AU"/>
        </w:rPr>
      </w:pPr>
      <w:r w:rsidRPr="00D961B9">
        <w:rPr>
          <w:rFonts w:ascii="Calibri" w:hAnsi="Calibri"/>
          <w:sz w:val="24"/>
          <w:szCs w:val="24"/>
          <w:lang w:val="en-AU"/>
        </w:rPr>
        <w:t xml:space="preserve">In this paper, we discuss real-world practices in biodiversity offsetting. We do not aim to merely present a critique of shortcomings of current biodiversity offset initiatives, but rather to contribute to a scientifically grounded debate about ways to improve this innovative mechanism while remaining practical within the constraints of real-world application. </w:t>
      </w:r>
      <w:r w:rsidR="00732A7B" w:rsidRPr="00D961B9">
        <w:rPr>
          <w:rFonts w:ascii="Calibri" w:hAnsi="Calibri"/>
          <w:sz w:val="24"/>
          <w:szCs w:val="24"/>
          <w:lang w:val="en-AU"/>
        </w:rPr>
        <w:t>Our aim is to propose a transparent and science-based approach to measure</w:t>
      </w:r>
      <w:r w:rsidR="00071C2E" w:rsidRPr="00D961B9">
        <w:rPr>
          <w:rFonts w:ascii="Calibri" w:hAnsi="Calibri"/>
          <w:sz w:val="24"/>
          <w:szCs w:val="24"/>
          <w:lang w:val="en-AU"/>
        </w:rPr>
        <w:t>ment of</w:t>
      </w:r>
      <w:r w:rsidR="00732A7B" w:rsidRPr="00D961B9">
        <w:rPr>
          <w:rFonts w:ascii="Calibri" w:hAnsi="Calibri"/>
          <w:sz w:val="24"/>
          <w:szCs w:val="24"/>
          <w:lang w:val="en-AU"/>
        </w:rPr>
        <w:t xml:space="preserve"> “no-net-loss”. </w:t>
      </w:r>
    </w:p>
    <w:p w14:paraId="2ADAA811" w14:textId="77777777" w:rsidR="00514B88" w:rsidRPr="00D961B9" w:rsidRDefault="00514B88" w:rsidP="00514B88">
      <w:pPr>
        <w:autoSpaceDE w:val="0"/>
        <w:autoSpaceDN w:val="0"/>
        <w:adjustRightInd w:val="0"/>
        <w:spacing w:after="0" w:line="288" w:lineRule="auto"/>
        <w:rPr>
          <w:rFonts w:ascii="Calibri" w:hAnsi="Calibri"/>
          <w:sz w:val="24"/>
          <w:szCs w:val="24"/>
          <w:lang w:val="en-GB"/>
        </w:rPr>
      </w:pPr>
    </w:p>
    <w:p w14:paraId="216E701D" w14:textId="08B3EEBA" w:rsidR="001D1511" w:rsidRPr="00D961B9" w:rsidRDefault="00E41AAD" w:rsidP="00514B88">
      <w:pPr>
        <w:autoSpaceDE w:val="0"/>
        <w:autoSpaceDN w:val="0"/>
        <w:adjustRightInd w:val="0"/>
        <w:spacing w:after="0" w:line="288" w:lineRule="auto"/>
        <w:rPr>
          <w:rFonts w:ascii="Calibri" w:hAnsi="Calibri"/>
          <w:b/>
          <w:sz w:val="24"/>
          <w:szCs w:val="24"/>
          <w:lang w:val="en-GB"/>
        </w:rPr>
      </w:pPr>
      <w:r w:rsidRPr="00D961B9">
        <w:rPr>
          <w:rFonts w:ascii="Calibri" w:hAnsi="Calibri"/>
          <w:b/>
          <w:sz w:val="24"/>
          <w:szCs w:val="24"/>
          <w:lang w:val="en-GB"/>
        </w:rPr>
        <w:t xml:space="preserve">1.1 </w:t>
      </w:r>
      <w:r w:rsidR="007C3AFE" w:rsidRPr="00D961B9">
        <w:rPr>
          <w:rFonts w:ascii="Calibri" w:hAnsi="Calibri"/>
          <w:b/>
          <w:sz w:val="24"/>
          <w:szCs w:val="24"/>
          <w:lang w:val="en-GB"/>
        </w:rPr>
        <w:t xml:space="preserve">Case study data </w:t>
      </w:r>
      <w:r w:rsidR="001D1511" w:rsidRPr="00D961B9">
        <w:rPr>
          <w:rFonts w:ascii="Calibri" w:hAnsi="Calibri"/>
          <w:b/>
          <w:sz w:val="24"/>
          <w:szCs w:val="24"/>
          <w:lang w:val="en-GB"/>
        </w:rPr>
        <w:t>and methods</w:t>
      </w:r>
    </w:p>
    <w:p w14:paraId="7CED475A" w14:textId="01A54E19" w:rsidR="00F05DC7" w:rsidRPr="00D961B9" w:rsidRDefault="001D1511" w:rsidP="00514B88">
      <w:pPr>
        <w:autoSpaceDE w:val="0"/>
        <w:autoSpaceDN w:val="0"/>
        <w:adjustRightInd w:val="0"/>
        <w:spacing w:after="0" w:line="288" w:lineRule="auto"/>
        <w:rPr>
          <w:rFonts w:ascii="Calibri" w:hAnsi="Calibri"/>
          <w:sz w:val="23"/>
          <w:szCs w:val="23"/>
          <w:lang w:val="en-GB"/>
        </w:rPr>
      </w:pPr>
      <w:r w:rsidRPr="00D961B9">
        <w:rPr>
          <w:rFonts w:ascii="Calibri" w:hAnsi="Calibri"/>
          <w:sz w:val="24"/>
          <w:szCs w:val="24"/>
          <w:lang w:val="en-GB"/>
        </w:rPr>
        <w:t>W</w:t>
      </w:r>
      <w:r w:rsidRPr="00D961B9">
        <w:rPr>
          <w:rFonts w:ascii="Calibri" w:hAnsi="Calibri"/>
          <w:sz w:val="24"/>
          <w:szCs w:val="24"/>
          <w:lang w:val="en-AU"/>
        </w:rPr>
        <w:t xml:space="preserve">e use real-world practice in biodiversity offsetting </w:t>
      </w:r>
      <w:r w:rsidR="0041398B" w:rsidRPr="00D961B9">
        <w:rPr>
          <w:rFonts w:ascii="Calibri" w:hAnsi="Calibri"/>
          <w:sz w:val="24"/>
          <w:szCs w:val="24"/>
          <w:lang w:val="en-AU"/>
        </w:rPr>
        <w:t xml:space="preserve">from Australia, Madagascar, Ghana and South Africa </w:t>
      </w:r>
      <w:r w:rsidR="00071C2E" w:rsidRPr="00D961B9">
        <w:rPr>
          <w:rFonts w:ascii="Calibri" w:hAnsi="Calibri"/>
          <w:sz w:val="24"/>
          <w:szCs w:val="24"/>
          <w:lang w:val="en-AU"/>
        </w:rPr>
        <w:t>to</w:t>
      </w:r>
      <w:r w:rsidRPr="00D961B9">
        <w:rPr>
          <w:rFonts w:ascii="Calibri" w:hAnsi="Calibri"/>
          <w:sz w:val="24"/>
          <w:szCs w:val="24"/>
          <w:lang w:val="en-AU"/>
        </w:rPr>
        <w:t xml:space="preserve"> assess </w:t>
      </w:r>
      <w:r w:rsidRPr="00D961B9">
        <w:rPr>
          <w:rFonts w:ascii="Calibri" w:hAnsi="Calibri"/>
          <w:sz w:val="24"/>
          <w:szCs w:val="24"/>
          <w:lang w:val="en-GB"/>
        </w:rPr>
        <w:t xml:space="preserve">how well some internationally leading initiatives integrate critical aspects of biodiversity attributes, net loss accounting and project management (Table A.1). In particular, we focus on </w:t>
      </w:r>
      <w:r w:rsidR="00436CB2" w:rsidRPr="00D961B9">
        <w:rPr>
          <w:rFonts w:ascii="Calibri" w:hAnsi="Calibri"/>
          <w:sz w:val="24"/>
          <w:szCs w:val="24"/>
          <w:lang w:val="en-GB"/>
        </w:rPr>
        <w:t xml:space="preserve">the case of </w:t>
      </w:r>
      <w:r w:rsidRPr="00D961B9">
        <w:rPr>
          <w:rFonts w:ascii="Calibri" w:hAnsi="Calibri"/>
          <w:sz w:val="24"/>
          <w:szCs w:val="24"/>
          <w:lang w:val="en-GB"/>
        </w:rPr>
        <w:t>open</w:t>
      </w:r>
      <w:r w:rsidR="00071C2E" w:rsidRPr="00D961B9">
        <w:rPr>
          <w:rFonts w:ascii="Calibri" w:hAnsi="Calibri"/>
          <w:sz w:val="24"/>
          <w:szCs w:val="24"/>
          <w:lang w:val="en-GB"/>
        </w:rPr>
        <w:t>-</w:t>
      </w:r>
      <w:r w:rsidRPr="00D961B9">
        <w:rPr>
          <w:rFonts w:ascii="Calibri" w:hAnsi="Calibri"/>
          <w:sz w:val="24"/>
          <w:szCs w:val="24"/>
          <w:lang w:val="en-GB"/>
        </w:rPr>
        <w:t xml:space="preserve">cast mining for ilmenite by </w:t>
      </w:r>
      <w:r w:rsidRPr="00D961B9">
        <w:rPr>
          <w:rFonts w:ascii="Calibri" w:eastAsia="Times New Roman" w:hAnsi="Calibri" w:cs="Courier New"/>
          <w:sz w:val="23"/>
          <w:szCs w:val="23"/>
          <w:lang w:val="en-GB"/>
        </w:rPr>
        <w:t>Rio Tinto-QMM in the littoral forest, Southeast Madagascar. Th</w:t>
      </w:r>
      <w:r w:rsidR="00CA7422" w:rsidRPr="00D961B9">
        <w:rPr>
          <w:rFonts w:ascii="Calibri" w:eastAsia="Times New Roman" w:hAnsi="Calibri" w:cs="Courier New"/>
          <w:sz w:val="23"/>
          <w:szCs w:val="23"/>
          <w:lang w:val="en-GB"/>
        </w:rPr>
        <w:t>is</w:t>
      </w:r>
      <w:r w:rsidRPr="00D961B9">
        <w:rPr>
          <w:rFonts w:ascii="Calibri" w:eastAsia="Times New Roman" w:hAnsi="Calibri" w:cs="Courier New"/>
          <w:sz w:val="23"/>
          <w:szCs w:val="23"/>
          <w:lang w:val="en-GB"/>
        </w:rPr>
        <w:t xml:space="preserve"> case study is critical because it is perceived as one of the first global pioneering and state-of-the-art voluntary biodiversity offset project</w:t>
      </w:r>
      <w:r w:rsidR="00CA7422" w:rsidRPr="00D961B9">
        <w:rPr>
          <w:rFonts w:ascii="Calibri" w:eastAsia="Times New Roman" w:hAnsi="Calibri" w:cs="Courier New"/>
          <w:sz w:val="23"/>
          <w:szCs w:val="23"/>
          <w:lang w:val="en-GB"/>
        </w:rPr>
        <w:t>s</w:t>
      </w:r>
      <w:r w:rsidRPr="00D961B9">
        <w:rPr>
          <w:rFonts w:ascii="Calibri" w:eastAsia="Times New Roman" w:hAnsi="Calibri" w:cs="Courier New"/>
          <w:sz w:val="23"/>
          <w:szCs w:val="23"/>
          <w:lang w:val="en-GB"/>
        </w:rPr>
        <w:t xml:space="preserve"> that will lead to “no-net-loss”</w:t>
      </w:r>
      <w:r w:rsidR="00F05DC7" w:rsidRPr="00D961B9">
        <w:rPr>
          <w:rFonts w:ascii="Calibri" w:eastAsia="Times New Roman" w:hAnsi="Calibri" w:cs="Courier New"/>
          <w:sz w:val="23"/>
          <w:szCs w:val="23"/>
          <w:lang w:val="en-GB"/>
        </w:rPr>
        <w:t xml:space="preserve"> (Temple et al.</w:t>
      </w:r>
      <w:r w:rsidR="00F4327F" w:rsidRPr="00D961B9">
        <w:rPr>
          <w:rFonts w:ascii="Calibri" w:eastAsia="Times New Roman" w:hAnsi="Calibri" w:cs="Courier New"/>
          <w:sz w:val="23"/>
          <w:szCs w:val="23"/>
          <w:lang w:val="en-GB"/>
        </w:rPr>
        <w:t>,</w:t>
      </w:r>
      <w:r w:rsidR="00F05DC7" w:rsidRPr="00D961B9">
        <w:rPr>
          <w:rFonts w:ascii="Calibri" w:eastAsia="Times New Roman" w:hAnsi="Calibri" w:cs="Courier New"/>
          <w:sz w:val="23"/>
          <w:szCs w:val="23"/>
          <w:lang w:val="en-GB"/>
        </w:rPr>
        <w:t xml:space="preserve"> 2012)</w:t>
      </w:r>
      <w:r w:rsidRPr="00D961B9">
        <w:rPr>
          <w:rFonts w:ascii="Calibri" w:eastAsia="Times New Roman" w:hAnsi="Calibri" w:cs="Courier New"/>
          <w:sz w:val="23"/>
          <w:szCs w:val="23"/>
          <w:lang w:val="en-GB"/>
        </w:rPr>
        <w:t>, despite projection</w:t>
      </w:r>
      <w:r w:rsidR="00CA7422" w:rsidRPr="00D961B9">
        <w:rPr>
          <w:rFonts w:ascii="Calibri" w:eastAsia="Times New Roman" w:hAnsi="Calibri" w:cs="Courier New"/>
          <w:sz w:val="23"/>
          <w:szCs w:val="23"/>
          <w:lang w:val="en-GB"/>
        </w:rPr>
        <w:t>s</w:t>
      </w:r>
      <w:r w:rsidRPr="00D961B9">
        <w:rPr>
          <w:rFonts w:ascii="Calibri" w:eastAsia="Times New Roman" w:hAnsi="Calibri" w:cs="Courier New"/>
          <w:sz w:val="23"/>
          <w:szCs w:val="23"/>
          <w:lang w:val="en-GB"/>
        </w:rPr>
        <w:t xml:space="preserve"> </w:t>
      </w:r>
      <w:r w:rsidRPr="00D961B9">
        <w:rPr>
          <w:rFonts w:ascii="Calibri" w:hAnsi="Calibri"/>
          <w:sz w:val="23"/>
          <w:szCs w:val="23"/>
          <w:lang w:val="en-GB"/>
        </w:rPr>
        <w:t xml:space="preserve">that mining there will destroy more than 50% of the littoral forest on sand, </w:t>
      </w:r>
      <w:r w:rsidR="00436CB2" w:rsidRPr="00D961B9">
        <w:rPr>
          <w:rFonts w:ascii="Calibri" w:hAnsi="Calibri"/>
          <w:sz w:val="23"/>
          <w:szCs w:val="23"/>
          <w:lang w:val="en-GB"/>
        </w:rPr>
        <w:t xml:space="preserve">which is arguably </w:t>
      </w:r>
      <w:r w:rsidRPr="00D961B9">
        <w:rPr>
          <w:rFonts w:ascii="Calibri" w:hAnsi="Calibri"/>
          <w:sz w:val="23"/>
          <w:szCs w:val="23"/>
          <w:lang w:val="en-GB"/>
        </w:rPr>
        <w:t>a unique and high</w:t>
      </w:r>
      <w:r w:rsidR="00F4327F" w:rsidRPr="00D961B9">
        <w:rPr>
          <w:rFonts w:ascii="Calibri" w:hAnsi="Calibri"/>
          <w:sz w:val="23"/>
          <w:szCs w:val="23"/>
          <w:lang w:val="en-GB"/>
        </w:rPr>
        <w:t>ly</w:t>
      </w:r>
      <w:r w:rsidRPr="00D961B9">
        <w:rPr>
          <w:rFonts w:ascii="Calibri" w:hAnsi="Calibri"/>
          <w:sz w:val="23"/>
          <w:szCs w:val="23"/>
          <w:lang w:val="en-GB"/>
        </w:rPr>
        <w:t xml:space="preserve"> biodiverse ecosystem</w:t>
      </w:r>
      <w:r w:rsidR="00436CB2" w:rsidRPr="00D961B9">
        <w:rPr>
          <w:rFonts w:ascii="Calibri" w:hAnsi="Calibri"/>
          <w:sz w:val="23"/>
          <w:szCs w:val="23"/>
          <w:lang w:val="en-GB"/>
        </w:rPr>
        <w:t xml:space="preserve"> (Ingram et al., 2005; Watson et al., 2005, Virah-Sawmy et al., 2009)</w:t>
      </w:r>
      <w:r w:rsidRPr="00D961B9">
        <w:rPr>
          <w:rFonts w:ascii="Calibri" w:hAnsi="Calibri"/>
          <w:sz w:val="23"/>
          <w:szCs w:val="23"/>
          <w:lang w:val="en-GB"/>
        </w:rPr>
        <w:t xml:space="preserve">. We </w:t>
      </w:r>
      <w:r w:rsidR="00CA7422" w:rsidRPr="00D961B9">
        <w:rPr>
          <w:rFonts w:ascii="Calibri" w:hAnsi="Calibri"/>
          <w:sz w:val="23"/>
          <w:szCs w:val="23"/>
          <w:lang w:val="en-GB"/>
        </w:rPr>
        <w:t xml:space="preserve">have </w:t>
      </w:r>
      <w:r w:rsidRPr="00D961B9">
        <w:rPr>
          <w:rFonts w:ascii="Calibri" w:hAnsi="Calibri"/>
          <w:sz w:val="23"/>
          <w:szCs w:val="23"/>
          <w:lang w:val="en-GB"/>
        </w:rPr>
        <w:t>used a set of published biodiversity data from the southeast littoral forest to compare different methodological approaches</w:t>
      </w:r>
      <w:r w:rsidR="00CA7422" w:rsidRPr="00D961B9">
        <w:rPr>
          <w:rFonts w:ascii="Calibri" w:hAnsi="Calibri"/>
          <w:sz w:val="23"/>
          <w:szCs w:val="23"/>
          <w:lang w:val="en-GB"/>
        </w:rPr>
        <w:t xml:space="preserve"> for accounting for biodiversity offsetting</w:t>
      </w:r>
      <w:r w:rsidRPr="00D961B9">
        <w:rPr>
          <w:rFonts w:ascii="Calibri" w:hAnsi="Calibri"/>
          <w:sz w:val="23"/>
          <w:szCs w:val="23"/>
          <w:lang w:val="en-GB"/>
        </w:rPr>
        <w:t xml:space="preserve">. </w:t>
      </w:r>
      <w:r w:rsidR="00F05DC7" w:rsidRPr="00D961B9">
        <w:rPr>
          <w:rFonts w:ascii="Calibri" w:hAnsi="Calibri"/>
          <w:sz w:val="23"/>
          <w:szCs w:val="23"/>
          <w:lang w:val="en-GB"/>
        </w:rPr>
        <w:t>We</w:t>
      </w:r>
      <w:r w:rsidR="00F05DC7" w:rsidRPr="00D961B9">
        <w:rPr>
          <w:rFonts w:ascii="Calibri" w:hAnsi="Calibri"/>
          <w:sz w:val="24"/>
          <w:szCs w:val="24"/>
          <w:lang w:val="en-GB"/>
        </w:rPr>
        <w:t xml:space="preserve"> compare outcomes </w:t>
      </w:r>
      <w:r w:rsidR="00F05DC7" w:rsidRPr="00D961B9">
        <w:rPr>
          <w:rFonts w:ascii="Calibri" w:hAnsi="Calibri"/>
          <w:sz w:val="24"/>
          <w:szCs w:val="24"/>
          <w:lang w:val="en-GB"/>
        </w:rPr>
        <w:lastRenderedPageBreak/>
        <w:t xml:space="preserve">based on using different critical parameters: biodiversity </w:t>
      </w:r>
      <w:r w:rsidR="00771574" w:rsidRPr="00D961B9">
        <w:rPr>
          <w:rFonts w:ascii="Calibri" w:hAnsi="Calibri"/>
          <w:sz w:val="24"/>
          <w:szCs w:val="24"/>
          <w:lang w:val="en-GB"/>
        </w:rPr>
        <w:t>attributes,</w:t>
      </w:r>
      <w:r w:rsidR="00F05DC7" w:rsidRPr="00D961B9">
        <w:rPr>
          <w:rFonts w:ascii="Calibri" w:hAnsi="Calibri"/>
          <w:sz w:val="24"/>
          <w:szCs w:val="24"/>
          <w:lang w:val="en-GB"/>
        </w:rPr>
        <w:t xml:space="preserve"> counterfactual scenarios, leakage risks and effectiveness </w:t>
      </w:r>
      <w:r w:rsidR="0041398B" w:rsidRPr="00D961B9">
        <w:rPr>
          <w:rFonts w:ascii="Calibri" w:hAnsi="Calibri"/>
          <w:sz w:val="24"/>
          <w:szCs w:val="24"/>
          <w:lang w:val="en-GB"/>
        </w:rPr>
        <w:t>using a</w:t>
      </w:r>
      <w:r w:rsidR="00BA6D58" w:rsidRPr="00D961B9">
        <w:rPr>
          <w:rFonts w:ascii="Calibri" w:hAnsi="Calibri"/>
          <w:sz w:val="24"/>
          <w:szCs w:val="24"/>
          <w:lang w:val="en-GB"/>
        </w:rPr>
        <w:t xml:space="preserve"> </w:t>
      </w:r>
      <w:r w:rsidR="007C3AFE" w:rsidRPr="00D961B9">
        <w:rPr>
          <w:rFonts w:ascii="Calibri" w:hAnsi="Calibri"/>
          <w:sz w:val="24"/>
          <w:szCs w:val="24"/>
          <w:lang w:val="en-GB"/>
        </w:rPr>
        <w:t xml:space="preserve">precautionary </w:t>
      </w:r>
      <w:r w:rsidR="0041398B" w:rsidRPr="00D961B9">
        <w:rPr>
          <w:rFonts w:ascii="Calibri" w:hAnsi="Calibri"/>
          <w:sz w:val="24"/>
          <w:szCs w:val="24"/>
          <w:lang w:val="en-GB"/>
        </w:rPr>
        <w:t xml:space="preserve">approach </w:t>
      </w:r>
      <w:r w:rsidR="00771574" w:rsidRPr="00D961B9">
        <w:rPr>
          <w:rFonts w:ascii="Calibri" w:hAnsi="Calibri"/>
          <w:sz w:val="24"/>
          <w:szCs w:val="24"/>
          <w:lang w:val="en-GB"/>
        </w:rPr>
        <w:t>(Figure A.1)</w:t>
      </w:r>
      <w:r w:rsidR="00F05DC7" w:rsidRPr="00D961B9">
        <w:rPr>
          <w:rFonts w:ascii="Calibri" w:hAnsi="Calibri"/>
          <w:sz w:val="24"/>
          <w:szCs w:val="24"/>
          <w:lang w:val="en-GB"/>
        </w:rPr>
        <w:t>.</w:t>
      </w:r>
    </w:p>
    <w:p w14:paraId="35D74A4C" w14:textId="77777777" w:rsidR="001D1511" w:rsidRDefault="001D1511" w:rsidP="00514B88">
      <w:pPr>
        <w:autoSpaceDE w:val="0"/>
        <w:autoSpaceDN w:val="0"/>
        <w:adjustRightInd w:val="0"/>
        <w:spacing w:after="0" w:line="288" w:lineRule="auto"/>
        <w:rPr>
          <w:rFonts w:ascii="Calibri" w:hAnsi="Calibri"/>
          <w:sz w:val="23"/>
          <w:szCs w:val="23"/>
          <w:lang w:val="en-GB"/>
        </w:rPr>
      </w:pPr>
    </w:p>
    <w:p w14:paraId="7D39A7F9" w14:textId="77777777" w:rsidR="00D961B9" w:rsidRDefault="00D961B9" w:rsidP="00514B88">
      <w:pPr>
        <w:autoSpaceDE w:val="0"/>
        <w:autoSpaceDN w:val="0"/>
        <w:adjustRightInd w:val="0"/>
        <w:spacing w:after="0" w:line="288" w:lineRule="auto"/>
        <w:rPr>
          <w:rFonts w:ascii="Calibri" w:hAnsi="Calibri"/>
          <w:sz w:val="23"/>
          <w:szCs w:val="23"/>
          <w:lang w:val="en-GB"/>
        </w:rPr>
      </w:pPr>
    </w:p>
    <w:p w14:paraId="27EE088C" w14:textId="77777777" w:rsidR="00D961B9" w:rsidRDefault="00D961B9" w:rsidP="00514B88">
      <w:pPr>
        <w:autoSpaceDE w:val="0"/>
        <w:autoSpaceDN w:val="0"/>
        <w:adjustRightInd w:val="0"/>
        <w:spacing w:after="0" w:line="288" w:lineRule="auto"/>
        <w:rPr>
          <w:rFonts w:ascii="Calibri" w:hAnsi="Calibri"/>
          <w:sz w:val="23"/>
          <w:szCs w:val="23"/>
          <w:lang w:val="en-GB"/>
        </w:rPr>
      </w:pPr>
    </w:p>
    <w:p w14:paraId="71CABDE5" w14:textId="77777777" w:rsidR="00D961B9" w:rsidRPr="00D961B9" w:rsidRDefault="00D961B9" w:rsidP="00514B88">
      <w:pPr>
        <w:autoSpaceDE w:val="0"/>
        <w:autoSpaceDN w:val="0"/>
        <w:adjustRightInd w:val="0"/>
        <w:spacing w:after="0" w:line="288" w:lineRule="auto"/>
        <w:rPr>
          <w:rFonts w:ascii="Calibri" w:hAnsi="Calibri"/>
          <w:sz w:val="23"/>
          <w:szCs w:val="23"/>
          <w:lang w:val="en-GB"/>
        </w:rPr>
      </w:pPr>
    </w:p>
    <w:p w14:paraId="775AEAD4" w14:textId="6714B6E1" w:rsidR="00D82999" w:rsidRPr="00D961B9" w:rsidRDefault="00E41AAD" w:rsidP="00D961B9">
      <w:pPr>
        <w:rPr>
          <w:b/>
          <w:sz w:val="24"/>
          <w:szCs w:val="24"/>
          <w:lang w:val="en-GB"/>
        </w:rPr>
      </w:pPr>
      <w:r w:rsidRPr="00D961B9">
        <w:rPr>
          <w:rFonts w:ascii="Calibri" w:hAnsi="Calibri"/>
          <w:b/>
          <w:sz w:val="24"/>
          <w:szCs w:val="24"/>
          <w:lang w:val="en-GB"/>
        </w:rPr>
        <w:t xml:space="preserve">2 </w:t>
      </w:r>
      <w:r w:rsidR="00C82614" w:rsidRPr="00D961B9">
        <w:rPr>
          <w:b/>
          <w:sz w:val="24"/>
          <w:szCs w:val="24"/>
          <w:lang w:val="en-GB"/>
        </w:rPr>
        <w:t xml:space="preserve">Defining a unit for biodiversity </w:t>
      </w:r>
    </w:p>
    <w:p w14:paraId="75EFC378" w14:textId="217C982D" w:rsidR="00A762A1" w:rsidRPr="00D961B9" w:rsidRDefault="005A13DF" w:rsidP="00514B88">
      <w:pPr>
        <w:autoSpaceDE w:val="0"/>
        <w:autoSpaceDN w:val="0"/>
        <w:adjustRightInd w:val="0"/>
        <w:spacing w:after="0"/>
        <w:rPr>
          <w:rFonts w:ascii="Calibri" w:hAnsi="Calibri"/>
          <w:sz w:val="24"/>
          <w:szCs w:val="24"/>
          <w:lang w:val="en-GB"/>
        </w:rPr>
      </w:pPr>
      <w:r w:rsidRPr="00D961B9">
        <w:rPr>
          <w:rFonts w:ascii="Calibri" w:hAnsi="Calibri"/>
          <w:sz w:val="24"/>
          <w:szCs w:val="24"/>
          <w:lang w:val="en-GB"/>
        </w:rPr>
        <w:t>Biologists have found it</w:t>
      </w:r>
      <w:r w:rsidR="00846684" w:rsidRPr="00D961B9">
        <w:rPr>
          <w:rFonts w:ascii="Calibri" w:hAnsi="Calibri"/>
          <w:sz w:val="24"/>
          <w:szCs w:val="24"/>
          <w:lang w:val="en-GB"/>
        </w:rPr>
        <w:t xml:space="preserve"> virtually impossible to quantify </w:t>
      </w:r>
      <w:r w:rsidR="00D60FA9" w:rsidRPr="00D961B9">
        <w:rPr>
          <w:rFonts w:ascii="Calibri" w:hAnsi="Calibri"/>
          <w:sz w:val="24"/>
          <w:szCs w:val="24"/>
          <w:lang w:val="en-GB"/>
        </w:rPr>
        <w:t>biodiversity</w:t>
      </w:r>
      <w:r w:rsidR="00716177" w:rsidRPr="00D961B9">
        <w:rPr>
          <w:rFonts w:ascii="Calibri" w:hAnsi="Calibri"/>
          <w:sz w:val="24"/>
          <w:szCs w:val="24"/>
          <w:lang w:val="en-GB"/>
        </w:rPr>
        <w:t>, and</w:t>
      </w:r>
      <w:r w:rsidR="008A62FE" w:rsidRPr="00D961B9">
        <w:rPr>
          <w:rFonts w:ascii="Calibri" w:hAnsi="Calibri"/>
          <w:sz w:val="24"/>
          <w:szCs w:val="24"/>
          <w:lang w:val="en-GB"/>
        </w:rPr>
        <w:t xml:space="preserve"> no one </w:t>
      </w:r>
      <w:r w:rsidR="00716177" w:rsidRPr="00D961B9">
        <w:rPr>
          <w:rFonts w:ascii="Calibri" w:hAnsi="Calibri"/>
          <w:sz w:val="24"/>
          <w:szCs w:val="24"/>
          <w:lang w:val="en-GB"/>
        </w:rPr>
        <w:t xml:space="preserve">single </w:t>
      </w:r>
      <w:r w:rsidR="008A62FE" w:rsidRPr="00D961B9">
        <w:rPr>
          <w:rFonts w:ascii="Calibri" w:hAnsi="Calibri"/>
          <w:sz w:val="24"/>
          <w:szCs w:val="24"/>
          <w:lang w:val="en-GB"/>
        </w:rPr>
        <w:t xml:space="preserve">measure is </w:t>
      </w:r>
      <w:r w:rsidR="00716177" w:rsidRPr="00D961B9">
        <w:rPr>
          <w:rFonts w:ascii="Calibri" w:hAnsi="Calibri"/>
          <w:sz w:val="24"/>
          <w:szCs w:val="24"/>
          <w:lang w:val="en-GB"/>
        </w:rPr>
        <w:t xml:space="preserve">ideally suited </w:t>
      </w:r>
      <w:r w:rsidR="008A62FE" w:rsidRPr="00D961B9">
        <w:rPr>
          <w:rFonts w:ascii="Calibri" w:hAnsi="Calibri"/>
          <w:sz w:val="24"/>
          <w:szCs w:val="24"/>
          <w:lang w:val="en-GB"/>
        </w:rPr>
        <w:t xml:space="preserve">for </w:t>
      </w:r>
      <w:r w:rsidR="00093C95" w:rsidRPr="00D961B9">
        <w:rPr>
          <w:rFonts w:ascii="Calibri" w:hAnsi="Calibri"/>
          <w:sz w:val="24"/>
          <w:szCs w:val="24"/>
          <w:lang w:val="en-GB"/>
        </w:rPr>
        <w:t>all purposes (The Royal Society</w:t>
      </w:r>
      <w:r w:rsidR="00436CB2" w:rsidRPr="00D961B9">
        <w:rPr>
          <w:rFonts w:ascii="Calibri" w:hAnsi="Calibri"/>
          <w:sz w:val="24"/>
          <w:szCs w:val="24"/>
          <w:lang w:val="en-GB"/>
        </w:rPr>
        <w:t>,</w:t>
      </w:r>
      <w:r w:rsidR="008A62FE" w:rsidRPr="00D961B9">
        <w:rPr>
          <w:rFonts w:ascii="Calibri" w:hAnsi="Calibri"/>
          <w:sz w:val="24"/>
          <w:szCs w:val="24"/>
          <w:lang w:val="en-GB"/>
        </w:rPr>
        <w:t xml:space="preserve"> 2003</w:t>
      </w:r>
      <w:r w:rsidR="00C439D5" w:rsidRPr="00D961B9">
        <w:rPr>
          <w:rFonts w:ascii="Calibri" w:hAnsi="Calibri"/>
          <w:sz w:val="24"/>
          <w:szCs w:val="24"/>
          <w:lang w:val="en-GB"/>
        </w:rPr>
        <w:t xml:space="preserve">; </w:t>
      </w:r>
      <w:r w:rsidR="00436CB2" w:rsidRPr="00D961B9">
        <w:rPr>
          <w:rFonts w:ascii="Calibri" w:hAnsi="Calibri"/>
          <w:sz w:val="24"/>
          <w:szCs w:val="24"/>
          <w:lang w:val="en-GB"/>
        </w:rPr>
        <w:t>Scholes and Biggs, 2005;</w:t>
      </w:r>
      <w:r w:rsidR="00C439D5" w:rsidRPr="00D961B9">
        <w:rPr>
          <w:rFonts w:ascii="Calibri" w:hAnsi="Calibri"/>
          <w:sz w:val="24"/>
          <w:szCs w:val="24"/>
          <w:lang w:val="en-GB"/>
        </w:rPr>
        <w:t xml:space="preserve"> Biggs et al., 2005</w:t>
      </w:r>
      <w:r w:rsidR="008A62FE" w:rsidRPr="00D961B9">
        <w:rPr>
          <w:rFonts w:ascii="Calibri" w:hAnsi="Calibri"/>
          <w:sz w:val="24"/>
          <w:szCs w:val="24"/>
          <w:lang w:val="en-GB"/>
        </w:rPr>
        <w:t>)</w:t>
      </w:r>
      <w:r w:rsidR="00A762A1" w:rsidRPr="00D961B9">
        <w:rPr>
          <w:rFonts w:ascii="Calibri" w:hAnsi="Calibri"/>
          <w:sz w:val="24"/>
          <w:szCs w:val="24"/>
          <w:lang w:val="en-GB"/>
        </w:rPr>
        <w:t>, yet this is specifically wh</w:t>
      </w:r>
      <w:r w:rsidRPr="00D961B9">
        <w:rPr>
          <w:rFonts w:ascii="Calibri" w:hAnsi="Calibri"/>
          <w:sz w:val="24"/>
          <w:szCs w:val="24"/>
          <w:lang w:val="en-GB"/>
        </w:rPr>
        <w:t xml:space="preserve">at </w:t>
      </w:r>
      <w:r w:rsidR="00BA6D58" w:rsidRPr="00D961B9">
        <w:rPr>
          <w:rFonts w:ascii="Calibri" w:hAnsi="Calibri"/>
          <w:sz w:val="24"/>
          <w:szCs w:val="24"/>
          <w:lang w:val="en-GB"/>
        </w:rPr>
        <w:t xml:space="preserve">those implementing </w:t>
      </w:r>
      <w:r w:rsidRPr="00D961B9">
        <w:rPr>
          <w:rFonts w:ascii="Calibri" w:hAnsi="Calibri"/>
          <w:sz w:val="24"/>
          <w:szCs w:val="24"/>
          <w:lang w:val="en-GB"/>
        </w:rPr>
        <w:t>biodiversity offsets attempt</w:t>
      </w:r>
      <w:r w:rsidR="00A762A1" w:rsidRPr="00D961B9">
        <w:rPr>
          <w:rFonts w:ascii="Calibri" w:hAnsi="Calibri"/>
          <w:sz w:val="24"/>
          <w:szCs w:val="24"/>
          <w:lang w:val="en-GB"/>
        </w:rPr>
        <w:t xml:space="preserve"> to do</w:t>
      </w:r>
      <w:r w:rsidR="008A62FE" w:rsidRPr="00D961B9">
        <w:rPr>
          <w:rFonts w:ascii="Calibri" w:hAnsi="Calibri"/>
          <w:sz w:val="24"/>
          <w:szCs w:val="24"/>
          <w:lang w:val="en-GB"/>
        </w:rPr>
        <w:t xml:space="preserve">. </w:t>
      </w:r>
      <w:r w:rsidRPr="00D961B9">
        <w:rPr>
          <w:rFonts w:ascii="Calibri" w:hAnsi="Calibri"/>
          <w:sz w:val="24"/>
          <w:szCs w:val="24"/>
          <w:lang w:val="en-GB"/>
        </w:rPr>
        <w:t>The central importance of defining a “unit” of biodiversity lies in the fact that the composite negative impact of, e.g., a mining project needs to be able to be quantified and compared to the composite benefit of the offset.</w:t>
      </w:r>
      <w:r w:rsidR="00E14CBA" w:rsidRPr="00D961B9">
        <w:rPr>
          <w:rFonts w:ascii="Calibri" w:hAnsi="Calibri"/>
          <w:sz w:val="24"/>
          <w:szCs w:val="24"/>
          <w:lang w:val="en-GB"/>
        </w:rPr>
        <w:t xml:space="preserve"> </w:t>
      </w:r>
      <w:r w:rsidR="00472FD6" w:rsidRPr="00D961B9">
        <w:rPr>
          <w:rFonts w:ascii="Calibri" w:hAnsi="Calibri"/>
          <w:sz w:val="24"/>
          <w:szCs w:val="24"/>
          <w:lang w:val="en-GB"/>
        </w:rPr>
        <w:t xml:space="preserve">The </w:t>
      </w:r>
      <w:r w:rsidR="0030625E" w:rsidRPr="00D961B9">
        <w:rPr>
          <w:rFonts w:ascii="Calibri" w:hAnsi="Calibri"/>
          <w:sz w:val="24"/>
          <w:szCs w:val="24"/>
          <w:lang w:val="en-GB"/>
        </w:rPr>
        <w:t xml:space="preserve">use of a large number of key biodiversity </w:t>
      </w:r>
      <w:r w:rsidR="00F4327F" w:rsidRPr="00D961B9">
        <w:rPr>
          <w:rFonts w:ascii="Calibri" w:hAnsi="Calibri"/>
          <w:sz w:val="24"/>
          <w:szCs w:val="24"/>
          <w:lang w:val="en-GB"/>
        </w:rPr>
        <w:t>attributes</w:t>
      </w:r>
      <w:r w:rsidR="0030625E" w:rsidRPr="00D961B9">
        <w:rPr>
          <w:rFonts w:ascii="Calibri" w:hAnsi="Calibri"/>
          <w:sz w:val="24"/>
          <w:szCs w:val="24"/>
          <w:lang w:val="en-GB"/>
        </w:rPr>
        <w:t xml:space="preserve"> and associated surrogate metrics (Table </w:t>
      </w:r>
      <w:r w:rsidR="006B0A24" w:rsidRPr="00D961B9">
        <w:rPr>
          <w:rFonts w:ascii="Calibri" w:hAnsi="Calibri"/>
          <w:sz w:val="24"/>
          <w:szCs w:val="24"/>
          <w:lang w:val="en-GB"/>
        </w:rPr>
        <w:t>A.</w:t>
      </w:r>
      <w:r w:rsidR="0030625E" w:rsidRPr="00D961B9">
        <w:rPr>
          <w:rFonts w:ascii="Calibri" w:hAnsi="Calibri"/>
          <w:sz w:val="24"/>
          <w:szCs w:val="24"/>
          <w:lang w:val="en-GB"/>
        </w:rPr>
        <w:t>1) has</w:t>
      </w:r>
      <w:r w:rsidR="00472FD6" w:rsidRPr="00D961B9">
        <w:rPr>
          <w:rFonts w:ascii="Calibri" w:hAnsi="Calibri"/>
          <w:sz w:val="24"/>
          <w:szCs w:val="24"/>
          <w:lang w:val="en-GB"/>
        </w:rPr>
        <w:t xml:space="preserve"> been suggested to ensure biodiversity is well represented (see </w:t>
      </w:r>
      <w:r w:rsidR="00F4327F" w:rsidRPr="00D961B9">
        <w:rPr>
          <w:rFonts w:ascii="Calibri" w:hAnsi="Calibri"/>
          <w:sz w:val="24"/>
          <w:szCs w:val="24"/>
          <w:lang w:val="en-GB"/>
        </w:rPr>
        <w:t xml:space="preserve">also </w:t>
      </w:r>
      <w:r w:rsidR="00472FD6" w:rsidRPr="00D961B9">
        <w:rPr>
          <w:rFonts w:ascii="Calibri" w:hAnsi="Calibri"/>
          <w:sz w:val="24"/>
          <w:szCs w:val="24"/>
          <w:lang w:val="en-GB"/>
        </w:rPr>
        <w:t>Gardner et al.</w:t>
      </w:r>
      <w:r w:rsidR="00F4327F" w:rsidRPr="00D961B9">
        <w:rPr>
          <w:rFonts w:ascii="Calibri" w:hAnsi="Calibri"/>
          <w:sz w:val="24"/>
          <w:szCs w:val="24"/>
          <w:lang w:val="en-GB"/>
        </w:rPr>
        <w:t>,</w:t>
      </w:r>
      <w:r w:rsidR="00472FD6" w:rsidRPr="00D961B9">
        <w:rPr>
          <w:rFonts w:ascii="Calibri" w:hAnsi="Calibri"/>
          <w:sz w:val="24"/>
          <w:szCs w:val="24"/>
          <w:lang w:val="en-GB"/>
        </w:rPr>
        <w:t xml:space="preserve"> 2013). </w:t>
      </w:r>
      <w:r w:rsidR="00A762A1" w:rsidRPr="00D961B9">
        <w:rPr>
          <w:rFonts w:ascii="Calibri" w:hAnsi="Calibri"/>
          <w:sz w:val="24"/>
          <w:szCs w:val="24"/>
          <w:lang w:val="en-GB"/>
        </w:rPr>
        <w:t xml:space="preserve">How to define </w:t>
      </w:r>
      <w:r w:rsidR="00BA6D58" w:rsidRPr="00D961B9">
        <w:rPr>
          <w:rFonts w:ascii="Calibri" w:hAnsi="Calibri"/>
          <w:sz w:val="24"/>
          <w:szCs w:val="24"/>
          <w:lang w:val="en-GB"/>
        </w:rPr>
        <w:t>a</w:t>
      </w:r>
      <w:r w:rsidR="00A762A1" w:rsidRPr="00D961B9">
        <w:rPr>
          <w:rFonts w:ascii="Calibri" w:hAnsi="Calibri"/>
          <w:sz w:val="24"/>
          <w:szCs w:val="24"/>
          <w:lang w:val="en-GB"/>
        </w:rPr>
        <w:t xml:space="preserve"> “</w:t>
      </w:r>
      <w:r w:rsidR="00E14CBA" w:rsidRPr="00D961B9">
        <w:rPr>
          <w:rFonts w:ascii="Calibri" w:hAnsi="Calibri"/>
          <w:sz w:val="24"/>
          <w:szCs w:val="24"/>
          <w:lang w:val="en-GB"/>
        </w:rPr>
        <w:t>unit of biodiversity</w:t>
      </w:r>
      <w:r w:rsidR="00A762A1" w:rsidRPr="00D961B9">
        <w:rPr>
          <w:rFonts w:ascii="Calibri" w:hAnsi="Calibri"/>
          <w:sz w:val="24"/>
          <w:szCs w:val="24"/>
          <w:lang w:val="en-GB"/>
        </w:rPr>
        <w:t>” is a critical consideration, and we demonstrate below that an evaluation of the effectiveness of an offset can greatly differ depending on which “dimension” of biodiversity is assessed.</w:t>
      </w:r>
      <w:r w:rsidR="00725834" w:rsidRPr="00D961B9">
        <w:rPr>
          <w:rFonts w:ascii="Calibri" w:hAnsi="Calibri"/>
          <w:sz w:val="24"/>
          <w:szCs w:val="24"/>
          <w:lang w:val="en-GB"/>
        </w:rPr>
        <w:t xml:space="preserve"> </w:t>
      </w:r>
    </w:p>
    <w:p w14:paraId="0A2AC78F" w14:textId="77777777" w:rsidR="00472FD6" w:rsidRPr="00D961B9" w:rsidRDefault="00472FD6" w:rsidP="00472FD6">
      <w:pPr>
        <w:autoSpaceDE w:val="0"/>
        <w:autoSpaceDN w:val="0"/>
        <w:adjustRightInd w:val="0"/>
        <w:spacing w:after="0" w:line="240" w:lineRule="auto"/>
        <w:rPr>
          <w:rFonts w:ascii="Calibri" w:hAnsi="Calibri"/>
          <w:sz w:val="24"/>
          <w:szCs w:val="24"/>
          <w:lang w:val="en-GB"/>
        </w:rPr>
      </w:pPr>
    </w:p>
    <w:p w14:paraId="26368142" w14:textId="21F71A41" w:rsidR="00092D05" w:rsidRPr="00D961B9" w:rsidRDefault="00E41AAD" w:rsidP="007A2A20">
      <w:pPr>
        <w:pStyle w:val="Heading2"/>
        <w:numPr>
          <w:ilvl w:val="0"/>
          <w:numId w:val="0"/>
        </w:numPr>
        <w:rPr>
          <w:sz w:val="24"/>
          <w:szCs w:val="24"/>
        </w:rPr>
      </w:pPr>
      <w:r w:rsidRPr="00D961B9">
        <w:rPr>
          <w:rFonts w:eastAsiaTheme="minorHAnsi"/>
          <w:sz w:val="24"/>
          <w:szCs w:val="24"/>
        </w:rPr>
        <w:t>2</w:t>
      </w:r>
      <w:r w:rsidR="007A2A20" w:rsidRPr="00D961B9">
        <w:rPr>
          <w:rFonts w:eastAsiaTheme="minorHAnsi"/>
          <w:sz w:val="24"/>
          <w:szCs w:val="24"/>
        </w:rPr>
        <w:t xml:space="preserve">.1 </w:t>
      </w:r>
      <w:r w:rsidR="007D3EC4" w:rsidRPr="00D961B9">
        <w:rPr>
          <w:rFonts w:eastAsiaTheme="minorHAnsi"/>
          <w:sz w:val="24"/>
          <w:szCs w:val="24"/>
        </w:rPr>
        <w:t>Measuring</w:t>
      </w:r>
      <w:r w:rsidR="00714424" w:rsidRPr="00D961B9">
        <w:rPr>
          <w:rFonts w:eastAsiaTheme="minorHAnsi"/>
          <w:sz w:val="24"/>
          <w:szCs w:val="24"/>
        </w:rPr>
        <w:t xml:space="preserve"> habitat </w:t>
      </w:r>
      <w:r w:rsidR="00385796" w:rsidRPr="00D961B9">
        <w:rPr>
          <w:rFonts w:eastAsiaTheme="minorHAnsi"/>
          <w:sz w:val="24"/>
          <w:szCs w:val="24"/>
        </w:rPr>
        <w:t>value or condition</w:t>
      </w:r>
      <w:r w:rsidR="007C3AFE" w:rsidRPr="00D961B9">
        <w:rPr>
          <w:rFonts w:eastAsiaTheme="minorHAnsi"/>
          <w:sz w:val="24"/>
          <w:szCs w:val="24"/>
        </w:rPr>
        <w:t>: The h</w:t>
      </w:r>
      <w:r w:rsidR="00714424" w:rsidRPr="00D961B9">
        <w:rPr>
          <w:rFonts w:eastAsiaTheme="minorHAnsi"/>
          <w:sz w:val="24"/>
          <w:szCs w:val="24"/>
        </w:rPr>
        <w:t>abitat hectare</w:t>
      </w:r>
      <w:r w:rsidR="00856E6C" w:rsidRPr="00D961B9">
        <w:rPr>
          <w:rFonts w:eastAsiaTheme="minorHAnsi"/>
          <w:sz w:val="24"/>
          <w:szCs w:val="24"/>
        </w:rPr>
        <w:t xml:space="preserve"> approach</w:t>
      </w:r>
    </w:p>
    <w:p w14:paraId="14097F52" w14:textId="035A36A2" w:rsidR="00472FD6" w:rsidRPr="00D961B9" w:rsidRDefault="005A13DF" w:rsidP="00472FD6">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The majority of biodiversity offset schemes to date have used land area as a basic unit of measurement and adjusted this according to a chosen formula to account for different biodiversity attributes such as composition, structure and function of biodiversity and, in some instances, characteristics that operate at a landscape scale, such as connectivity</w:t>
      </w:r>
      <w:r w:rsidR="00BA6D58" w:rsidRPr="00D961B9">
        <w:rPr>
          <w:rFonts w:ascii="Calibri" w:hAnsi="Calibri"/>
          <w:sz w:val="24"/>
          <w:szCs w:val="24"/>
          <w:lang w:val="en-GB"/>
        </w:rPr>
        <w:t>;</w:t>
      </w:r>
      <w:r w:rsidRPr="00D961B9">
        <w:rPr>
          <w:rFonts w:ascii="Calibri" w:hAnsi="Calibri"/>
          <w:sz w:val="24"/>
          <w:szCs w:val="24"/>
          <w:lang w:val="en-GB"/>
        </w:rPr>
        <w:t xml:space="preserve"> </w:t>
      </w:r>
      <w:r w:rsidR="00BA6D58" w:rsidRPr="00D961B9">
        <w:rPr>
          <w:rFonts w:ascii="Calibri" w:hAnsi="Calibri"/>
          <w:sz w:val="24"/>
          <w:szCs w:val="24"/>
          <w:lang w:val="en-GB"/>
        </w:rPr>
        <w:t xml:space="preserve">these </w:t>
      </w:r>
      <w:r w:rsidRPr="00D961B9">
        <w:rPr>
          <w:rFonts w:ascii="Calibri" w:hAnsi="Calibri"/>
          <w:sz w:val="24"/>
          <w:szCs w:val="24"/>
          <w:lang w:val="en-GB"/>
        </w:rPr>
        <w:t>are then subjectively weighted into an overall value (</w:t>
      </w:r>
      <w:r w:rsidRPr="00D961B9">
        <w:rPr>
          <w:rFonts w:ascii="Calibri" w:hAnsi="Calibri"/>
          <w:sz w:val="24"/>
          <w:szCs w:val="24"/>
          <w:lang w:val="en-GB"/>
        </w:rPr>
        <w:fldChar w:fldCharType="begin" w:fldLock="1"/>
      </w:r>
      <w:r w:rsidRPr="00D961B9">
        <w:rPr>
          <w:rFonts w:ascii="Calibri" w:hAnsi="Calibri"/>
          <w:sz w:val="24"/>
          <w:szCs w:val="24"/>
          <w:lang w:val="en-GB"/>
        </w:rPr>
        <w:instrText>ADDIN CSL_CITATION { "citationItems" : [ { "id" : "ITEM-1", "itemData" : { "ISBN" : "9781932928310", "author" : [ { "dropping-particle" : "", "family" : "(BBOP)", "given" : "Business and Biodiversity Offsets Programme", "non-dropping-particle" : "", "parse-names" : false, "suffix" : "" } ], "id" : "ITEM-1", "issued" : { "date-parts" : [ [ "2009" ] ] }, "page" : "103", "publisher-place" : "Washington, D.C.", "title" : "Biodiversity Offset Design Handbook", "type" : "report" }, "uris" : [ "http://www.mendeley.com/documents/?uuid=13fa39a7-ff5c-429b-b289-c75fd7c875cf" ] } ], "mendeley" : { "manualFormatting" : "(BBOP  2009)", "previouslyFormattedCitation" : "((BBOP) 2009)" }, "properties" : { "noteIndex" : 0 }, "schema" : "https://github.com/citation-style-language/schema/raw/master/csl-citation.json" }</w:instrText>
      </w:r>
      <w:r w:rsidRPr="00D961B9">
        <w:rPr>
          <w:rFonts w:ascii="Calibri" w:hAnsi="Calibri"/>
          <w:sz w:val="24"/>
          <w:szCs w:val="24"/>
          <w:lang w:val="en-GB"/>
        </w:rPr>
        <w:fldChar w:fldCharType="separate"/>
      </w:r>
      <w:r w:rsidRPr="00D961B9">
        <w:rPr>
          <w:rFonts w:ascii="Calibri" w:hAnsi="Calibri"/>
          <w:sz w:val="24"/>
          <w:szCs w:val="24"/>
          <w:lang w:val="en-GB"/>
        </w:rPr>
        <w:t>BBOP</w:t>
      </w:r>
      <w:r w:rsidR="00436CB2" w:rsidRPr="00D961B9">
        <w:rPr>
          <w:rFonts w:ascii="Calibri" w:hAnsi="Calibri"/>
          <w:sz w:val="24"/>
          <w:szCs w:val="24"/>
          <w:lang w:val="en-GB"/>
        </w:rPr>
        <w:t xml:space="preserve">, </w:t>
      </w:r>
      <w:r w:rsidRPr="00D961B9">
        <w:rPr>
          <w:rFonts w:ascii="Calibri" w:hAnsi="Calibri"/>
          <w:sz w:val="24"/>
          <w:szCs w:val="24"/>
          <w:lang w:val="en-GB"/>
        </w:rPr>
        <w:t>2009)</w:t>
      </w:r>
      <w:r w:rsidRPr="00D961B9">
        <w:rPr>
          <w:rFonts w:ascii="Calibri" w:hAnsi="Calibri"/>
          <w:sz w:val="24"/>
          <w:szCs w:val="24"/>
          <w:lang w:val="en-GB"/>
        </w:rPr>
        <w:fldChar w:fldCharType="end"/>
      </w:r>
      <w:r w:rsidRPr="00D961B9">
        <w:rPr>
          <w:rFonts w:ascii="Calibri" w:hAnsi="Calibri"/>
          <w:sz w:val="24"/>
          <w:szCs w:val="24"/>
          <w:lang w:val="en-GB"/>
        </w:rPr>
        <w:t xml:space="preserve">. Existing biodiversity offsets schemes differ substantially </w:t>
      </w:r>
      <w:r w:rsidR="00BA6D58" w:rsidRPr="00D961B9">
        <w:rPr>
          <w:rFonts w:ascii="Calibri" w:hAnsi="Calibri"/>
          <w:sz w:val="24"/>
          <w:szCs w:val="24"/>
          <w:lang w:val="en-GB"/>
        </w:rPr>
        <w:t>with regard to</w:t>
      </w:r>
      <w:r w:rsidRPr="00D961B9">
        <w:rPr>
          <w:rFonts w:ascii="Calibri" w:hAnsi="Calibri"/>
          <w:sz w:val="24"/>
          <w:szCs w:val="24"/>
          <w:lang w:val="en-GB"/>
        </w:rPr>
        <w:t xml:space="preserve"> which biodiversity attributes and weighting system they use </w:t>
      </w:r>
      <w:r w:rsidRPr="00D961B9">
        <w:rPr>
          <w:rFonts w:ascii="Calibri" w:hAnsi="Calibri"/>
          <w:sz w:val="24"/>
          <w:szCs w:val="24"/>
          <w:lang w:val="en-GB"/>
        </w:rPr>
        <w:fldChar w:fldCharType="begin" w:fldLock="1"/>
      </w:r>
      <w:r w:rsidRPr="00D961B9">
        <w:rPr>
          <w:rFonts w:ascii="Calibri" w:hAnsi="Calibri"/>
          <w:sz w:val="24"/>
          <w:szCs w:val="24"/>
          <w:lang w:val="en-GB"/>
        </w:rPr>
        <w:instrText>ADDIN CSL_CITATION { "citationItems" : [ { "id" : "ITEM-1", "itemData" : { "ISBN" : "9781932928310", "author" : [ { "dropping-particle" : "", "family" : "(BBOP)", "given" : "Business and Biodiversity Offsets Programme", "non-dropping-particle" : "", "parse-names" : false, "suffix" : "" } ], "id" : "ITEM-1", "issued" : { "date-parts" : [ [ "2009" ] ] }, "page" : "103", "publisher-place" : "Washington, D.C.", "title" : "Biodiversity Offset Design Handbook", "type" : "report" }, "uris" : [ "http://www.mendeley.com/documents/?uuid=13fa39a7-ff5c-429b-b289-c75fd7c875cf" ] } ], "mendeley" : { "manualFormatting" : "(BBOP  2009)", "previouslyFormattedCitation" : "((BBOP) 2009)" }, "properties" : { "noteIndex" : 0 }, "schema" : "https://github.com/citation-style-language/schema/raw/master/csl-citation.json" }</w:instrText>
      </w:r>
      <w:r w:rsidRPr="00D961B9">
        <w:rPr>
          <w:rFonts w:ascii="Calibri" w:hAnsi="Calibri"/>
          <w:sz w:val="24"/>
          <w:szCs w:val="24"/>
          <w:lang w:val="en-GB"/>
        </w:rPr>
        <w:fldChar w:fldCharType="separate"/>
      </w:r>
      <w:r w:rsidRPr="00D961B9">
        <w:rPr>
          <w:rFonts w:ascii="Calibri" w:hAnsi="Calibri"/>
          <w:sz w:val="24"/>
          <w:szCs w:val="24"/>
          <w:lang w:val="en-GB"/>
        </w:rPr>
        <w:t xml:space="preserve">(Table </w:t>
      </w:r>
      <w:r w:rsidR="006B0A24" w:rsidRPr="00D961B9">
        <w:rPr>
          <w:rFonts w:ascii="Calibri" w:hAnsi="Calibri"/>
          <w:sz w:val="24"/>
          <w:szCs w:val="24"/>
          <w:lang w:val="en-GB"/>
        </w:rPr>
        <w:t>A.</w:t>
      </w:r>
      <w:r w:rsidRPr="00D961B9">
        <w:rPr>
          <w:rFonts w:ascii="Calibri" w:hAnsi="Calibri"/>
          <w:sz w:val="24"/>
          <w:szCs w:val="24"/>
          <w:lang w:val="en-GB"/>
        </w:rPr>
        <w:t>1)</w:t>
      </w:r>
      <w:r w:rsidRPr="00D961B9">
        <w:rPr>
          <w:rFonts w:ascii="Calibri" w:hAnsi="Calibri"/>
          <w:sz w:val="24"/>
          <w:szCs w:val="24"/>
          <w:lang w:val="en-GB"/>
        </w:rPr>
        <w:fldChar w:fldCharType="end"/>
      </w:r>
      <w:r w:rsidRPr="00D961B9">
        <w:rPr>
          <w:rFonts w:ascii="Calibri" w:hAnsi="Calibri"/>
          <w:sz w:val="24"/>
          <w:szCs w:val="24"/>
          <w:lang w:val="en-GB"/>
        </w:rPr>
        <w:t xml:space="preserve">. </w:t>
      </w:r>
    </w:p>
    <w:p w14:paraId="4B66250F" w14:textId="77777777" w:rsidR="00472FD6" w:rsidRPr="00D961B9" w:rsidRDefault="00472FD6" w:rsidP="00472FD6">
      <w:pPr>
        <w:autoSpaceDE w:val="0"/>
        <w:autoSpaceDN w:val="0"/>
        <w:adjustRightInd w:val="0"/>
        <w:spacing w:after="0" w:line="288" w:lineRule="auto"/>
        <w:rPr>
          <w:rFonts w:ascii="Calibri" w:hAnsi="Calibri"/>
          <w:sz w:val="24"/>
          <w:szCs w:val="24"/>
          <w:lang w:val="en-GB"/>
        </w:rPr>
      </w:pPr>
    </w:p>
    <w:p w14:paraId="338109E8" w14:textId="6A906636" w:rsidR="00E14CBA" w:rsidRPr="00D961B9" w:rsidRDefault="00E14CBA" w:rsidP="00E14CBA">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This</w:t>
      </w:r>
      <w:r w:rsidR="005A13DF" w:rsidRPr="00D961B9">
        <w:rPr>
          <w:rFonts w:ascii="Calibri" w:hAnsi="Calibri"/>
          <w:sz w:val="24"/>
          <w:szCs w:val="24"/>
          <w:lang w:val="en-GB"/>
        </w:rPr>
        <w:t xml:space="preserve"> approach </w:t>
      </w:r>
      <w:r w:rsidRPr="00D961B9">
        <w:rPr>
          <w:rFonts w:ascii="Calibri" w:hAnsi="Calibri"/>
          <w:sz w:val="24"/>
          <w:szCs w:val="24"/>
          <w:lang w:val="en-GB"/>
        </w:rPr>
        <w:t xml:space="preserve">of combining area and biodiversity attributes is </w:t>
      </w:r>
      <w:r w:rsidR="005A13DF" w:rsidRPr="00D961B9">
        <w:rPr>
          <w:rFonts w:ascii="Calibri" w:hAnsi="Calibri"/>
          <w:sz w:val="24"/>
          <w:szCs w:val="24"/>
          <w:lang w:val="en-GB"/>
        </w:rPr>
        <w:t xml:space="preserve">known as the </w:t>
      </w:r>
      <w:r w:rsidR="005A13DF" w:rsidRPr="00D961B9">
        <w:rPr>
          <w:rFonts w:ascii="Calibri" w:hAnsi="Calibri"/>
          <w:i/>
          <w:sz w:val="24"/>
          <w:szCs w:val="24"/>
          <w:lang w:val="en-GB"/>
        </w:rPr>
        <w:t xml:space="preserve">habitat hectare </w:t>
      </w:r>
      <w:r w:rsidRPr="00D961B9">
        <w:rPr>
          <w:rFonts w:ascii="Calibri" w:hAnsi="Calibri"/>
          <w:sz w:val="24"/>
          <w:szCs w:val="24"/>
          <w:lang w:val="en-GB"/>
        </w:rPr>
        <w:t>and</w:t>
      </w:r>
      <w:r w:rsidR="005A13DF" w:rsidRPr="00D961B9">
        <w:rPr>
          <w:rFonts w:ascii="Calibri" w:hAnsi="Calibri"/>
          <w:sz w:val="24"/>
          <w:szCs w:val="24"/>
          <w:lang w:val="en-GB"/>
        </w:rPr>
        <w:t xml:space="preserve"> was first introduced in the design of biodiversity offsets in the Australian state of Victoria (Department of Natural Resources and Environment</w:t>
      </w:r>
      <w:r w:rsidR="00436CB2" w:rsidRPr="00D961B9">
        <w:rPr>
          <w:rFonts w:ascii="Calibri" w:hAnsi="Calibri"/>
          <w:sz w:val="24"/>
          <w:szCs w:val="24"/>
          <w:lang w:val="en-GB"/>
        </w:rPr>
        <w:t>,</w:t>
      </w:r>
      <w:r w:rsidR="005A13DF" w:rsidRPr="00D961B9">
        <w:rPr>
          <w:rFonts w:ascii="Calibri" w:hAnsi="Calibri"/>
          <w:sz w:val="24"/>
          <w:szCs w:val="24"/>
          <w:lang w:val="en-GB"/>
        </w:rPr>
        <w:t xml:space="preserve"> 2002). It has become a key template that also has been used in most voluntary offset initiatives internationally as well as in Australia (e.g. all pioneering case studies presented</w:t>
      </w:r>
      <w:r w:rsidRPr="00D961B9">
        <w:rPr>
          <w:rFonts w:ascii="Calibri" w:hAnsi="Calibri"/>
          <w:sz w:val="24"/>
          <w:szCs w:val="24"/>
          <w:lang w:val="en-GB"/>
        </w:rPr>
        <w:t xml:space="preserve"> in</w:t>
      </w:r>
      <w:r w:rsidR="005A13DF" w:rsidRPr="00D961B9">
        <w:rPr>
          <w:rFonts w:ascii="Calibri" w:hAnsi="Calibri"/>
          <w:sz w:val="24"/>
          <w:szCs w:val="24"/>
          <w:lang w:val="en-GB"/>
        </w:rPr>
        <w:t xml:space="preserve"> Table </w:t>
      </w:r>
      <w:r w:rsidR="006B0A24" w:rsidRPr="00D961B9">
        <w:rPr>
          <w:rFonts w:ascii="Calibri" w:hAnsi="Calibri"/>
          <w:sz w:val="24"/>
          <w:szCs w:val="24"/>
          <w:lang w:val="en-GB"/>
        </w:rPr>
        <w:t>A.</w:t>
      </w:r>
      <w:r w:rsidR="005A13DF" w:rsidRPr="00D961B9">
        <w:rPr>
          <w:rFonts w:ascii="Calibri" w:hAnsi="Calibri"/>
          <w:sz w:val="24"/>
          <w:szCs w:val="24"/>
          <w:lang w:val="en-GB"/>
        </w:rPr>
        <w:t>1</w:t>
      </w:r>
      <w:r w:rsidR="00BA6D58" w:rsidRPr="00D961B9">
        <w:rPr>
          <w:rFonts w:ascii="Calibri" w:hAnsi="Calibri"/>
          <w:sz w:val="24"/>
          <w:szCs w:val="24"/>
          <w:lang w:val="en-GB"/>
        </w:rPr>
        <w:t xml:space="preserve"> use habitat hectares</w:t>
      </w:r>
      <w:r w:rsidR="005A13DF" w:rsidRPr="00D961B9">
        <w:rPr>
          <w:rFonts w:ascii="Calibri" w:hAnsi="Calibri"/>
          <w:sz w:val="24"/>
          <w:szCs w:val="24"/>
          <w:lang w:val="en-GB"/>
        </w:rPr>
        <w:t xml:space="preserve">). </w:t>
      </w:r>
      <w:r w:rsidRPr="00D961B9">
        <w:rPr>
          <w:rFonts w:ascii="Calibri" w:hAnsi="Calibri"/>
          <w:sz w:val="24"/>
          <w:szCs w:val="24"/>
          <w:lang w:val="en-GB"/>
        </w:rPr>
        <w:t>This commonly used area-based approach means that both the area affected by a development and the biodiversity protected and/or enhanced by compensatory measures need to be multiplied by some measure of biodiversity value. This is generally expressed as the following but is conceptually flawed as we will show later:</w:t>
      </w:r>
    </w:p>
    <w:p w14:paraId="7865D9D3" w14:textId="77777777" w:rsidR="00BA6D58" w:rsidRPr="00D961B9" w:rsidRDefault="00BA6D58" w:rsidP="00E14CBA">
      <w:pPr>
        <w:autoSpaceDE w:val="0"/>
        <w:autoSpaceDN w:val="0"/>
        <w:adjustRightInd w:val="0"/>
        <w:spacing w:after="0" w:line="288" w:lineRule="auto"/>
        <w:rPr>
          <w:rFonts w:ascii="Calibri" w:hAnsi="Calibri"/>
          <w:sz w:val="24"/>
          <w:szCs w:val="24"/>
          <w:lang w:val="en-GB"/>
        </w:rPr>
      </w:pPr>
    </w:p>
    <w:p w14:paraId="76627DF8" w14:textId="77777777" w:rsidR="00E14CBA" w:rsidRPr="00D961B9" w:rsidRDefault="00E14CBA" w:rsidP="00E14CBA">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Biodiversity net change: [gain in ha x biodiversity value at offset site – loss in ha x biodiversity value from impacted site]</w:t>
      </w:r>
      <w:r w:rsidRPr="00D961B9">
        <w:rPr>
          <w:rFonts w:ascii="Calibri" w:hAnsi="Calibri"/>
          <w:sz w:val="24"/>
          <w:szCs w:val="24"/>
          <w:lang w:val="en-GB"/>
        </w:rPr>
        <w:tab/>
      </w:r>
      <w:r w:rsidRPr="00D961B9">
        <w:rPr>
          <w:rFonts w:ascii="Calibri" w:hAnsi="Calibri"/>
          <w:sz w:val="24"/>
          <w:szCs w:val="24"/>
          <w:lang w:val="en-GB"/>
        </w:rPr>
        <w:tab/>
      </w:r>
      <w:r w:rsidRPr="00D961B9">
        <w:rPr>
          <w:rFonts w:ascii="Calibri" w:hAnsi="Calibri"/>
          <w:sz w:val="24"/>
          <w:szCs w:val="24"/>
          <w:lang w:val="en-GB"/>
        </w:rPr>
        <w:tab/>
      </w:r>
      <w:r w:rsidRPr="00D961B9">
        <w:rPr>
          <w:rFonts w:ascii="Calibri" w:hAnsi="Calibri"/>
          <w:sz w:val="24"/>
          <w:szCs w:val="24"/>
          <w:lang w:val="en-GB"/>
        </w:rPr>
        <w:tab/>
      </w:r>
      <w:r w:rsidRPr="00D961B9">
        <w:rPr>
          <w:rFonts w:ascii="Calibri" w:hAnsi="Calibri"/>
          <w:sz w:val="24"/>
          <w:szCs w:val="24"/>
          <w:lang w:val="en-GB"/>
        </w:rPr>
        <w:tab/>
      </w:r>
      <w:r w:rsidRPr="00D961B9">
        <w:rPr>
          <w:rFonts w:ascii="Calibri" w:hAnsi="Calibri"/>
          <w:sz w:val="24"/>
          <w:szCs w:val="24"/>
          <w:lang w:val="en-GB"/>
        </w:rPr>
        <w:tab/>
      </w:r>
      <w:r w:rsidRPr="00D961B9">
        <w:rPr>
          <w:rFonts w:ascii="Calibri" w:hAnsi="Calibri"/>
          <w:sz w:val="24"/>
          <w:szCs w:val="24"/>
          <w:lang w:val="en-GB"/>
        </w:rPr>
        <w:tab/>
        <w:t>(1)</w:t>
      </w:r>
    </w:p>
    <w:p w14:paraId="3B8778EC" w14:textId="77777777" w:rsidR="00E14CBA" w:rsidRPr="00D961B9" w:rsidRDefault="00E14CBA" w:rsidP="00E14CBA">
      <w:pPr>
        <w:autoSpaceDE w:val="0"/>
        <w:autoSpaceDN w:val="0"/>
        <w:adjustRightInd w:val="0"/>
        <w:spacing w:after="0" w:line="288" w:lineRule="auto"/>
        <w:rPr>
          <w:rFonts w:ascii="Calibri" w:hAnsi="Calibri"/>
          <w:sz w:val="24"/>
          <w:szCs w:val="24"/>
          <w:lang w:val="en-GB"/>
        </w:rPr>
      </w:pPr>
    </w:p>
    <w:p w14:paraId="5736C9E1" w14:textId="40AE0527" w:rsidR="0062341D" w:rsidRPr="00D961B9" w:rsidRDefault="000E6F1C">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lastRenderedPageBreak/>
        <w:t>T</w:t>
      </w:r>
      <w:r w:rsidR="000B121A" w:rsidRPr="00D961B9">
        <w:rPr>
          <w:rFonts w:ascii="Calibri" w:hAnsi="Calibri"/>
          <w:sz w:val="24"/>
          <w:szCs w:val="24"/>
          <w:lang w:val="en-GB"/>
        </w:rPr>
        <w:t>he habitat</w:t>
      </w:r>
      <w:r w:rsidR="00856E6C" w:rsidRPr="00D961B9">
        <w:rPr>
          <w:rFonts w:ascii="Calibri" w:hAnsi="Calibri"/>
          <w:sz w:val="24"/>
          <w:szCs w:val="24"/>
          <w:lang w:val="en-GB"/>
        </w:rPr>
        <w:t xml:space="preserve"> </w:t>
      </w:r>
      <w:r w:rsidR="000B121A" w:rsidRPr="00D961B9">
        <w:rPr>
          <w:rFonts w:ascii="Calibri" w:hAnsi="Calibri"/>
          <w:sz w:val="24"/>
          <w:szCs w:val="24"/>
          <w:lang w:val="en-GB"/>
        </w:rPr>
        <w:t xml:space="preserve">hectare approach </w:t>
      </w:r>
      <w:r w:rsidR="0035030D" w:rsidRPr="00D961B9">
        <w:rPr>
          <w:rFonts w:ascii="Calibri" w:hAnsi="Calibri"/>
          <w:sz w:val="24"/>
          <w:szCs w:val="24"/>
          <w:lang w:val="en-GB"/>
        </w:rPr>
        <w:t>was developed</w:t>
      </w:r>
      <w:r w:rsidR="000B121A" w:rsidRPr="00D961B9">
        <w:rPr>
          <w:rFonts w:ascii="Calibri" w:hAnsi="Calibri"/>
          <w:sz w:val="24"/>
          <w:szCs w:val="24"/>
          <w:lang w:val="en-GB"/>
        </w:rPr>
        <w:t xml:space="preserve"> because it </w:t>
      </w:r>
      <w:r w:rsidR="006074F3" w:rsidRPr="00D961B9">
        <w:rPr>
          <w:rFonts w:ascii="Calibri" w:hAnsi="Calibri"/>
          <w:sz w:val="24"/>
          <w:szCs w:val="24"/>
          <w:lang w:val="en-GB"/>
        </w:rPr>
        <w:t>was</w:t>
      </w:r>
      <w:r w:rsidR="000B121A" w:rsidRPr="00D961B9">
        <w:rPr>
          <w:rFonts w:ascii="Calibri" w:hAnsi="Calibri"/>
          <w:sz w:val="24"/>
          <w:szCs w:val="24"/>
          <w:lang w:val="en-GB"/>
        </w:rPr>
        <w:t xml:space="preserve"> considered </w:t>
      </w:r>
      <w:r w:rsidR="0035030D" w:rsidRPr="00D961B9">
        <w:rPr>
          <w:rFonts w:ascii="Calibri" w:hAnsi="Calibri"/>
          <w:sz w:val="24"/>
          <w:szCs w:val="24"/>
          <w:lang w:val="en-GB"/>
        </w:rPr>
        <w:t>to</w:t>
      </w:r>
      <w:r w:rsidR="00BA6D58" w:rsidRPr="00D961B9">
        <w:rPr>
          <w:rFonts w:ascii="Calibri" w:hAnsi="Calibri"/>
          <w:sz w:val="24"/>
          <w:szCs w:val="24"/>
          <w:lang w:val="en-GB"/>
        </w:rPr>
        <w:t>:</w:t>
      </w:r>
      <w:r w:rsidR="0035030D" w:rsidRPr="00D961B9">
        <w:rPr>
          <w:rFonts w:ascii="Calibri" w:hAnsi="Calibri"/>
          <w:sz w:val="24"/>
          <w:szCs w:val="24"/>
          <w:lang w:val="en-GB"/>
        </w:rPr>
        <w:t xml:space="preserve"> be a </w:t>
      </w:r>
      <w:r w:rsidR="000B121A" w:rsidRPr="00D961B9">
        <w:rPr>
          <w:rFonts w:ascii="Calibri" w:hAnsi="Calibri"/>
          <w:sz w:val="24"/>
          <w:szCs w:val="24"/>
          <w:lang w:val="en-GB"/>
        </w:rPr>
        <w:t>practical</w:t>
      </w:r>
      <w:r w:rsidR="0035030D" w:rsidRPr="00D961B9">
        <w:rPr>
          <w:rFonts w:ascii="Calibri" w:hAnsi="Calibri"/>
          <w:sz w:val="24"/>
          <w:szCs w:val="24"/>
          <w:lang w:val="en-GB"/>
        </w:rPr>
        <w:t xml:space="preserve"> and</w:t>
      </w:r>
      <w:r w:rsidR="000B121A" w:rsidRPr="00D961B9">
        <w:rPr>
          <w:rFonts w:ascii="Calibri" w:hAnsi="Calibri"/>
          <w:sz w:val="24"/>
          <w:szCs w:val="24"/>
          <w:lang w:val="en-GB"/>
        </w:rPr>
        <w:t xml:space="preserve"> cost-effective </w:t>
      </w:r>
      <w:r w:rsidR="0035030D" w:rsidRPr="00D961B9">
        <w:rPr>
          <w:rFonts w:ascii="Calibri" w:hAnsi="Calibri"/>
          <w:sz w:val="24"/>
          <w:szCs w:val="24"/>
          <w:lang w:val="en-GB"/>
        </w:rPr>
        <w:t>measure, requir</w:t>
      </w:r>
      <w:r w:rsidR="00BA6D58" w:rsidRPr="00D961B9">
        <w:rPr>
          <w:rFonts w:ascii="Calibri" w:hAnsi="Calibri"/>
          <w:sz w:val="24"/>
          <w:szCs w:val="24"/>
          <w:lang w:val="en-GB"/>
        </w:rPr>
        <w:t>e</w:t>
      </w:r>
      <w:r w:rsidR="0035030D" w:rsidRPr="00D961B9">
        <w:rPr>
          <w:rFonts w:ascii="Calibri" w:hAnsi="Calibri"/>
          <w:sz w:val="24"/>
          <w:szCs w:val="24"/>
          <w:lang w:val="en-GB"/>
        </w:rPr>
        <w:t xml:space="preserve"> only </w:t>
      </w:r>
      <w:r w:rsidR="000B121A" w:rsidRPr="00D961B9">
        <w:rPr>
          <w:rFonts w:ascii="Calibri" w:hAnsi="Calibri"/>
          <w:sz w:val="24"/>
          <w:szCs w:val="24"/>
          <w:lang w:val="en-GB"/>
        </w:rPr>
        <w:t xml:space="preserve">relatively simple </w:t>
      </w:r>
      <w:r w:rsidR="0035030D" w:rsidRPr="00D961B9">
        <w:rPr>
          <w:rFonts w:ascii="Calibri" w:hAnsi="Calibri"/>
          <w:sz w:val="24"/>
          <w:szCs w:val="24"/>
          <w:lang w:val="en-GB"/>
        </w:rPr>
        <w:t xml:space="preserve">site </w:t>
      </w:r>
      <w:r w:rsidR="000B121A" w:rsidRPr="00D961B9">
        <w:rPr>
          <w:rFonts w:ascii="Calibri" w:hAnsi="Calibri"/>
          <w:sz w:val="24"/>
          <w:szCs w:val="24"/>
          <w:lang w:val="en-GB"/>
        </w:rPr>
        <w:t>measurements</w:t>
      </w:r>
      <w:r w:rsidR="0035030D" w:rsidRPr="00D961B9">
        <w:rPr>
          <w:rFonts w:ascii="Calibri" w:hAnsi="Calibri"/>
          <w:sz w:val="24"/>
          <w:szCs w:val="24"/>
          <w:lang w:val="en-GB"/>
        </w:rPr>
        <w:t xml:space="preserve">, and </w:t>
      </w:r>
      <w:r w:rsidR="00BA6D58" w:rsidRPr="00D961B9">
        <w:rPr>
          <w:rFonts w:ascii="Calibri" w:hAnsi="Calibri"/>
          <w:sz w:val="24"/>
          <w:szCs w:val="24"/>
          <w:lang w:val="en-GB"/>
        </w:rPr>
        <w:t xml:space="preserve">be </w:t>
      </w:r>
      <w:r w:rsidR="0035030D" w:rsidRPr="00D961B9">
        <w:rPr>
          <w:rFonts w:ascii="Calibri" w:hAnsi="Calibri"/>
          <w:sz w:val="24"/>
          <w:szCs w:val="24"/>
          <w:lang w:val="en-GB"/>
        </w:rPr>
        <w:t>easily communicated during</w:t>
      </w:r>
      <w:r w:rsidR="000B121A" w:rsidRPr="00D961B9">
        <w:rPr>
          <w:rFonts w:ascii="Calibri" w:hAnsi="Calibri"/>
          <w:sz w:val="24"/>
          <w:szCs w:val="24"/>
          <w:lang w:val="en-GB"/>
        </w:rPr>
        <w:t xml:space="preserve"> engagement with land managers and the broader community</w:t>
      </w:r>
      <w:r w:rsidR="00EF55A5" w:rsidRPr="00D961B9">
        <w:rPr>
          <w:rFonts w:ascii="Calibri" w:hAnsi="Calibri"/>
          <w:sz w:val="24"/>
          <w:szCs w:val="24"/>
          <w:lang w:val="en-GB"/>
        </w:rPr>
        <w:t xml:space="preserve"> (Department of Natural Resources and Environment</w:t>
      </w:r>
      <w:r w:rsidR="00C439D5" w:rsidRPr="00D961B9">
        <w:rPr>
          <w:rFonts w:ascii="Calibri" w:hAnsi="Calibri"/>
          <w:sz w:val="24"/>
          <w:szCs w:val="24"/>
          <w:lang w:val="en-GB"/>
        </w:rPr>
        <w:t>,</w:t>
      </w:r>
      <w:r w:rsidR="00EF55A5" w:rsidRPr="00D961B9">
        <w:rPr>
          <w:rFonts w:ascii="Calibri" w:hAnsi="Calibri"/>
          <w:sz w:val="24"/>
          <w:szCs w:val="24"/>
          <w:lang w:val="en-GB"/>
        </w:rPr>
        <w:t xml:space="preserve"> 2002)</w:t>
      </w:r>
      <w:r w:rsidR="000B121A" w:rsidRPr="00D961B9">
        <w:rPr>
          <w:rFonts w:ascii="Calibri" w:hAnsi="Calibri"/>
          <w:sz w:val="24"/>
          <w:szCs w:val="24"/>
          <w:lang w:val="en-GB"/>
        </w:rPr>
        <w:t xml:space="preserve">. </w:t>
      </w:r>
      <w:r w:rsidR="0077121D" w:rsidRPr="00D961B9">
        <w:rPr>
          <w:rFonts w:ascii="Calibri" w:hAnsi="Calibri"/>
          <w:sz w:val="24"/>
          <w:szCs w:val="24"/>
          <w:lang w:val="en-GB"/>
        </w:rPr>
        <w:t xml:space="preserve">However, the method </w:t>
      </w:r>
      <w:r w:rsidR="0035030D" w:rsidRPr="00D961B9">
        <w:rPr>
          <w:rFonts w:ascii="Calibri" w:hAnsi="Calibri"/>
          <w:sz w:val="24"/>
          <w:szCs w:val="24"/>
          <w:lang w:val="en-GB"/>
        </w:rPr>
        <w:t xml:space="preserve">ignores important aspects of biodiversity. For example, it </w:t>
      </w:r>
      <w:r w:rsidR="0077121D" w:rsidRPr="00D961B9">
        <w:rPr>
          <w:rFonts w:ascii="Calibri" w:hAnsi="Calibri"/>
          <w:sz w:val="24"/>
          <w:szCs w:val="24"/>
          <w:lang w:val="en-GB"/>
        </w:rPr>
        <w:t xml:space="preserve">does not aim to evaluate </w:t>
      </w:r>
      <w:r w:rsidR="0035030D" w:rsidRPr="00D961B9">
        <w:rPr>
          <w:rFonts w:ascii="Calibri" w:hAnsi="Calibri"/>
          <w:sz w:val="24"/>
          <w:szCs w:val="24"/>
          <w:lang w:val="en-GB"/>
        </w:rPr>
        <w:t xml:space="preserve">the </w:t>
      </w:r>
      <w:r w:rsidR="0077121D" w:rsidRPr="00D961B9">
        <w:rPr>
          <w:rFonts w:ascii="Calibri" w:hAnsi="Calibri"/>
          <w:sz w:val="24"/>
          <w:szCs w:val="24"/>
          <w:lang w:val="en-GB"/>
        </w:rPr>
        <w:t>conservation significance of a site (e.g. presence of rare or threatened species</w:t>
      </w:r>
      <w:r w:rsidR="00BA6D58" w:rsidRPr="00D961B9">
        <w:rPr>
          <w:rFonts w:ascii="Calibri" w:hAnsi="Calibri"/>
          <w:sz w:val="24"/>
          <w:szCs w:val="24"/>
          <w:lang w:val="en-GB"/>
        </w:rPr>
        <w:t>,</w:t>
      </w:r>
      <w:r w:rsidR="0077121D" w:rsidRPr="00D961B9">
        <w:rPr>
          <w:rFonts w:ascii="Calibri" w:hAnsi="Calibri"/>
          <w:sz w:val="24"/>
          <w:szCs w:val="24"/>
          <w:lang w:val="en-GB"/>
        </w:rPr>
        <w:t xml:space="preserve"> or </w:t>
      </w:r>
      <w:r w:rsidR="000E2977" w:rsidRPr="00D961B9">
        <w:rPr>
          <w:rFonts w:ascii="Calibri" w:hAnsi="Calibri"/>
          <w:sz w:val="24"/>
          <w:szCs w:val="24"/>
          <w:lang w:val="en-GB"/>
        </w:rPr>
        <w:t>ecological</w:t>
      </w:r>
      <w:r w:rsidR="00C770AC" w:rsidRPr="00D961B9">
        <w:rPr>
          <w:rFonts w:ascii="Calibri" w:hAnsi="Calibri"/>
          <w:sz w:val="24"/>
          <w:szCs w:val="24"/>
          <w:lang w:val="en-GB"/>
        </w:rPr>
        <w:t xml:space="preserve"> </w:t>
      </w:r>
      <w:r w:rsidR="0077121D" w:rsidRPr="00D961B9">
        <w:rPr>
          <w:rFonts w:ascii="Calibri" w:hAnsi="Calibri"/>
          <w:sz w:val="24"/>
          <w:szCs w:val="24"/>
          <w:lang w:val="en-GB"/>
        </w:rPr>
        <w:t>communities)</w:t>
      </w:r>
      <w:r w:rsidR="004E482D" w:rsidRPr="00D961B9">
        <w:rPr>
          <w:rFonts w:ascii="Calibri" w:hAnsi="Calibri"/>
          <w:sz w:val="24"/>
          <w:szCs w:val="24"/>
          <w:lang w:val="en-GB"/>
        </w:rPr>
        <w:t xml:space="preserve">, nor does it </w:t>
      </w:r>
      <w:r w:rsidR="00C770AC" w:rsidRPr="00D961B9">
        <w:rPr>
          <w:rFonts w:ascii="Calibri" w:hAnsi="Calibri"/>
          <w:sz w:val="24"/>
          <w:szCs w:val="24"/>
          <w:lang w:val="en-GB"/>
        </w:rPr>
        <w:t>consider</w:t>
      </w:r>
      <w:r w:rsidR="000E06B2" w:rsidRPr="00D961B9">
        <w:rPr>
          <w:rFonts w:ascii="Calibri" w:hAnsi="Calibri"/>
          <w:sz w:val="24"/>
          <w:szCs w:val="24"/>
          <w:lang w:val="en-GB"/>
        </w:rPr>
        <w:t xml:space="preserve"> </w:t>
      </w:r>
      <w:r w:rsidR="00930745" w:rsidRPr="00D961B9">
        <w:rPr>
          <w:rFonts w:ascii="Calibri" w:hAnsi="Calibri"/>
          <w:sz w:val="24"/>
          <w:szCs w:val="24"/>
          <w:lang w:val="en-GB"/>
        </w:rPr>
        <w:t>viability requirements</w:t>
      </w:r>
      <w:r w:rsidR="003A2C84" w:rsidRPr="00D961B9">
        <w:rPr>
          <w:rFonts w:ascii="Calibri" w:hAnsi="Calibri"/>
          <w:sz w:val="24"/>
          <w:szCs w:val="24"/>
          <w:lang w:val="en-GB"/>
        </w:rPr>
        <w:t xml:space="preserve"> </w:t>
      </w:r>
      <w:r w:rsidR="004E482D" w:rsidRPr="00D961B9">
        <w:rPr>
          <w:rFonts w:ascii="Calibri" w:hAnsi="Calibri"/>
          <w:sz w:val="24"/>
          <w:szCs w:val="24"/>
          <w:lang w:val="en-GB"/>
        </w:rPr>
        <w:t xml:space="preserve">of </w:t>
      </w:r>
      <w:r w:rsidR="0077121D" w:rsidRPr="00D961B9">
        <w:rPr>
          <w:rFonts w:ascii="Calibri" w:hAnsi="Calibri"/>
          <w:sz w:val="24"/>
          <w:szCs w:val="24"/>
          <w:lang w:val="en-GB"/>
        </w:rPr>
        <w:t xml:space="preserve">endangered species </w:t>
      </w:r>
      <w:r w:rsidR="004E482D" w:rsidRPr="00D961B9">
        <w:rPr>
          <w:rFonts w:ascii="Calibri" w:hAnsi="Calibri"/>
          <w:sz w:val="24"/>
          <w:szCs w:val="24"/>
          <w:lang w:val="en-GB"/>
        </w:rPr>
        <w:t xml:space="preserve">(see </w:t>
      </w:r>
      <w:r w:rsidR="002E6AA3" w:rsidRPr="00D961B9">
        <w:rPr>
          <w:rFonts w:ascii="Calibri" w:hAnsi="Calibri"/>
          <w:sz w:val="24"/>
          <w:szCs w:val="24"/>
          <w:lang w:val="en-GB"/>
        </w:rPr>
        <w:fldChar w:fldCharType="begin" w:fldLock="1"/>
      </w:r>
      <w:r w:rsidR="00CF55F0" w:rsidRPr="00D961B9">
        <w:rPr>
          <w:rFonts w:ascii="Calibri" w:hAnsi="Calibri"/>
          <w:sz w:val="24"/>
          <w:szCs w:val="24"/>
          <w:lang w:val="en-GB"/>
        </w:rPr>
        <w:instrText>ADDIN CSL_CITATION { "citationItems" : [ { "id" : "ITEM-1", "itemData" : { "DOI" : "10.1111/j.1365-2664.2010.01787.x", "ISSN" : "00218901", "author" : [ { "dropping-particle" : "", "family" : "Maron", "given" : "Martine", "non-dropping-particle" : "", "parse-names" : false, "suffix" : "" }, { "dropping-particle" : "", "family" : "Dunn", "given" : "Peter K.", "non-dropping-particle" : "", "parse-names" : false, "suffix" : "" }, { "dropping-particle" : "", "family" : "McAlpine", "given" : "Clive a.", "non-dropping-particle" : "", "parse-names" : false, "suffix" : "" }, { "dropping-particle" : "", "family" : "Apan", "given" : "Armando", "non-dropping-particle" : "", "parse-names" : false, "suffix" : "" } ], "container-title" : "Journal of Applied Ecology", "id" : "ITEM-1", "issue" : "2", "issued" : { "date-parts" : [ [ "2010", "4" ] ] }, "page" : "348-355", "title" : "Can offsets really compensate for habitat removal? The case of the endangered red-tailed black-cockatoo", "type" : "article-journal", "volume" : "47" }, "uris" : [ "http://www.mendeley.com/documents/?uuid=cc6b767f-f1ac-4bbf-9014-661003af0c8f" ] } ], "mendeley" : { "manualFormatting" : "Maron et al. 2010)", "previouslyFormattedCitation" : "(Maron &lt;i&gt;et al.&lt;/i&gt; 2010)" }, "properties" : { "noteIndex" : 0 }, "schema" : "https://github.com/citation-style-language/schema/raw/master/csl-citation.json" }</w:instrText>
      </w:r>
      <w:r w:rsidR="002E6AA3" w:rsidRPr="00D961B9">
        <w:rPr>
          <w:rFonts w:ascii="Calibri" w:hAnsi="Calibri"/>
          <w:sz w:val="24"/>
          <w:szCs w:val="24"/>
          <w:lang w:val="en-GB"/>
        </w:rPr>
        <w:fldChar w:fldCharType="separate"/>
      </w:r>
      <w:r w:rsidR="004E482D" w:rsidRPr="00D961B9">
        <w:rPr>
          <w:rFonts w:ascii="Calibri" w:hAnsi="Calibri"/>
          <w:noProof/>
          <w:sz w:val="24"/>
          <w:szCs w:val="24"/>
          <w:lang w:val="en-GB"/>
        </w:rPr>
        <w:t>Maron et al.</w:t>
      </w:r>
      <w:r w:rsidR="00436CB2" w:rsidRPr="00D961B9">
        <w:rPr>
          <w:rFonts w:ascii="Calibri" w:hAnsi="Calibri"/>
          <w:noProof/>
          <w:sz w:val="24"/>
          <w:szCs w:val="24"/>
          <w:lang w:val="en-GB"/>
        </w:rPr>
        <w:t>,</w:t>
      </w:r>
      <w:r w:rsidR="004E482D" w:rsidRPr="00D961B9">
        <w:rPr>
          <w:rFonts w:ascii="Calibri" w:hAnsi="Calibri"/>
          <w:noProof/>
          <w:sz w:val="24"/>
          <w:szCs w:val="24"/>
          <w:lang w:val="en-GB"/>
        </w:rPr>
        <w:t xml:space="preserve"> 2010)</w:t>
      </w:r>
      <w:r w:rsidR="002E6AA3" w:rsidRPr="00D961B9">
        <w:rPr>
          <w:rFonts w:ascii="Calibri" w:hAnsi="Calibri"/>
          <w:sz w:val="24"/>
          <w:szCs w:val="24"/>
          <w:lang w:val="en-GB"/>
        </w:rPr>
        <w:fldChar w:fldCharType="end"/>
      </w:r>
      <w:r w:rsidR="000C02E7" w:rsidRPr="00D961B9">
        <w:rPr>
          <w:rFonts w:ascii="Calibri" w:hAnsi="Calibri"/>
          <w:sz w:val="24"/>
          <w:szCs w:val="24"/>
          <w:lang w:val="en-GB"/>
        </w:rPr>
        <w:t xml:space="preserve">. </w:t>
      </w:r>
      <w:r w:rsidR="00C770AC" w:rsidRPr="00D961B9">
        <w:rPr>
          <w:rFonts w:ascii="Calibri" w:hAnsi="Calibri"/>
          <w:sz w:val="24"/>
          <w:szCs w:val="24"/>
          <w:lang w:val="en-GB"/>
        </w:rPr>
        <w:t>It has been argued, t</w:t>
      </w:r>
      <w:r w:rsidR="00930745" w:rsidRPr="00D961B9">
        <w:rPr>
          <w:rFonts w:ascii="Calibri" w:hAnsi="Calibri"/>
          <w:sz w:val="24"/>
          <w:szCs w:val="24"/>
          <w:lang w:val="en-GB"/>
        </w:rPr>
        <w:t>herefore</w:t>
      </w:r>
      <w:r w:rsidR="00EB29B8" w:rsidRPr="00D961B9">
        <w:rPr>
          <w:rFonts w:ascii="Calibri" w:hAnsi="Calibri"/>
          <w:sz w:val="24"/>
          <w:szCs w:val="24"/>
          <w:lang w:val="en-GB"/>
        </w:rPr>
        <w:t xml:space="preserve">, </w:t>
      </w:r>
      <w:r w:rsidR="00C770AC" w:rsidRPr="00D961B9">
        <w:rPr>
          <w:rFonts w:ascii="Calibri" w:hAnsi="Calibri"/>
          <w:sz w:val="24"/>
          <w:szCs w:val="24"/>
          <w:lang w:val="en-GB"/>
        </w:rPr>
        <w:t xml:space="preserve">that </w:t>
      </w:r>
      <w:r w:rsidR="00EB29B8" w:rsidRPr="00D961B9">
        <w:rPr>
          <w:rFonts w:ascii="Calibri" w:hAnsi="Calibri"/>
          <w:sz w:val="24"/>
          <w:szCs w:val="24"/>
          <w:lang w:val="en-GB"/>
        </w:rPr>
        <w:t xml:space="preserve">this metric </w:t>
      </w:r>
      <w:r w:rsidR="00C770AC" w:rsidRPr="00D961B9">
        <w:rPr>
          <w:rFonts w:ascii="Calibri" w:hAnsi="Calibri"/>
          <w:sz w:val="24"/>
          <w:szCs w:val="24"/>
          <w:lang w:val="en-GB"/>
        </w:rPr>
        <w:t>may only be</w:t>
      </w:r>
      <w:r w:rsidR="00EB29B8" w:rsidRPr="00D961B9">
        <w:rPr>
          <w:rFonts w:ascii="Calibri" w:hAnsi="Calibri"/>
          <w:sz w:val="24"/>
          <w:szCs w:val="24"/>
          <w:lang w:val="en-GB"/>
        </w:rPr>
        <w:t xml:space="preserve"> appropriate in habitats with </w:t>
      </w:r>
      <w:r w:rsidR="000E2977" w:rsidRPr="00D961B9">
        <w:rPr>
          <w:rFonts w:ascii="Calibri" w:hAnsi="Calibri"/>
          <w:sz w:val="24"/>
          <w:szCs w:val="24"/>
          <w:lang w:val="en-GB"/>
        </w:rPr>
        <w:t>“low” to “moderate” biodiversity values</w:t>
      </w:r>
      <w:r w:rsidR="001D4A41" w:rsidRPr="00D961B9">
        <w:rPr>
          <w:rFonts w:ascii="Calibri" w:hAnsi="Calibri"/>
          <w:sz w:val="24"/>
          <w:szCs w:val="24"/>
          <w:lang w:val="en-GB"/>
        </w:rPr>
        <w:t xml:space="preserve"> </w:t>
      </w:r>
      <w:r w:rsidR="002E6AA3" w:rsidRPr="00D961B9">
        <w:rPr>
          <w:rFonts w:ascii="Calibri" w:hAnsi="Calibri"/>
          <w:sz w:val="24"/>
          <w:szCs w:val="24"/>
          <w:lang w:val="en-GB"/>
        </w:rPr>
        <w:fldChar w:fldCharType="begin" w:fldLock="1"/>
      </w:r>
      <w:r w:rsidR="00CF55F0" w:rsidRPr="00D961B9">
        <w:rPr>
          <w:rFonts w:ascii="Calibri" w:hAnsi="Calibri"/>
          <w:sz w:val="24"/>
          <w:szCs w:val="24"/>
          <w:lang w:val="en-GB"/>
        </w:rPr>
        <w:instrText>ADDIN CSL_CITATION { "citationItems" : [ { "id" : "ITEM-1", "itemData" : { "DOI" : "10.1111/j.1442-8903.2007.00328.x", "ISSN" : "1442-7001", "author" : [ { "dropping-particle" : "", "family" : "Gibbons", "given" : "Philip", "non-dropping-particle" : "", "parse-names" : false, "suffix" : "" }, { "dropping-particle" : "", "family" : "Lindenmayer", "given" : "David B.", "non-dropping-particle" : "", "parse-names" : false, "suffix" : "" } ], "container-title" : "Ecological Management &amp; Restoration", "id" : "ITEM-1", "issue" : "1", "issued" : { "date-parts" : [ [ "2007", "4" ] ] }, "page" : "26-31", "title" : "Offsets for land clearing: No net loss or the tail wagging the dog?", "type" : "article-journal", "volume" : "8" }, "uris" : [ "http://www.mendeley.com/documents/?uuid=5420fc66-88e5-4177-b55b-fdbb6f0c29ce" ] } ], "mendeley" : { "previouslyFormattedCitation" : "(Gibbons &amp; Lindenmayer 2007)" }, "properties" : { "noteIndex" : 0 }, "schema" : "https://github.com/citation-style-language/schema/raw/master/csl-citation.json" }</w:instrText>
      </w:r>
      <w:r w:rsidR="002E6AA3" w:rsidRPr="00D961B9">
        <w:rPr>
          <w:rFonts w:ascii="Calibri" w:hAnsi="Calibri"/>
          <w:sz w:val="24"/>
          <w:szCs w:val="24"/>
          <w:lang w:val="en-GB"/>
        </w:rPr>
        <w:fldChar w:fldCharType="separate"/>
      </w:r>
      <w:r w:rsidR="001D4A41" w:rsidRPr="00D961B9">
        <w:rPr>
          <w:rFonts w:ascii="Calibri" w:hAnsi="Calibri"/>
          <w:noProof/>
          <w:sz w:val="24"/>
          <w:szCs w:val="24"/>
          <w:lang w:val="en-GB"/>
        </w:rPr>
        <w:t xml:space="preserve">(Gibbons </w:t>
      </w:r>
      <w:r w:rsidR="00C439D5" w:rsidRPr="00D961B9">
        <w:rPr>
          <w:rFonts w:ascii="Calibri" w:hAnsi="Calibri"/>
          <w:noProof/>
          <w:sz w:val="24"/>
          <w:szCs w:val="24"/>
          <w:lang w:val="en-GB"/>
        </w:rPr>
        <w:t>and</w:t>
      </w:r>
      <w:r w:rsidR="001D4A41" w:rsidRPr="00D961B9">
        <w:rPr>
          <w:rFonts w:ascii="Calibri" w:hAnsi="Calibri"/>
          <w:noProof/>
          <w:sz w:val="24"/>
          <w:szCs w:val="24"/>
          <w:lang w:val="en-GB"/>
        </w:rPr>
        <w:t xml:space="preserve"> Lindenmayer</w:t>
      </w:r>
      <w:r w:rsidR="00C439D5" w:rsidRPr="00D961B9">
        <w:rPr>
          <w:rFonts w:ascii="Calibri" w:hAnsi="Calibri"/>
          <w:noProof/>
          <w:sz w:val="24"/>
          <w:szCs w:val="24"/>
          <w:lang w:val="en-GB"/>
        </w:rPr>
        <w:t>,</w:t>
      </w:r>
      <w:r w:rsidR="001D4A41" w:rsidRPr="00D961B9">
        <w:rPr>
          <w:rFonts w:ascii="Calibri" w:hAnsi="Calibri"/>
          <w:noProof/>
          <w:sz w:val="24"/>
          <w:szCs w:val="24"/>
          <w:lang w:val="en-GB"/>
        </w:rPr>
        <w:t xml:space="preserve"> 2007)</w:t>
      </w:r>
      <w:r w:rsidR="002E6AA3" w:rsidRPr="00D961B9">
        <w:rPr>
          <w:rFonts w:ascii="Calibri" w:hAnsi="Calibri"/>
          <w:sz w:val="24"/>
          <w:szCs w:val="24"/>
          <w:lang w:val="en-GB"/>
        </w:rPr>
        <w:fldChar w:fldCharType="end"/>
      </w:r>
      <w:r w:rsidR="00EB29B8" w:rsidRPr="00D961B9">
        <w:rPr>
          <w:rFonts w:ascii="Calibri" w:hAnsi="Calibri"/>
          <w:sz w:val="24"/>
          <w:szCs w:val="24"/>
          <w:lang w:val="en-GB"/>
        </w:rPr>
        <w:t>.</w:t>
      </w:r>
    </w:p>
    <w:p w14:paraId="6BEB95E7" w14:textId="77777777" w:rsidR="0030625E" w:rsidRPr="00D961B9" w:rsidRDefault="0030625E">
      <w:pPr>
        <w:autoSpaceDE w:val="0"/>
        <w:autoSpaceDN w:val="0"/>
        <w:adjustRightInd w:val="0"/>
        <w:spacing w:after="0" w:line="288" w:lineRule="auto"/>
        <w:rPr>
          <w:rFonts w:ascii="Calibri" w:hAnsi="Calibri"/>
          <w:sz w:val="24"/>
          <w:szCs w:val="24"/>
          <w:lang w:val="en-GB"/>
        </w:rPr>
      </w:pPr>
    </w:p>
    <w:p w14:paraId="47E29E9A" w14:textId="20D36A88" w:rsidR="001D1511" w:rsidRPr="00D961B9" w:rsidRDefault="0062341D" w:rsidP="00F81E46">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Despite</w:t>
      </w:r>
      <w:r w:rsidR="00EF55A5" w:rsidRPr="00D961B9">
        <w:rPr>
          <w:rFonts w:ascii="Calibri" w:hAnsi="Calibri"/>
          <w:sz w:val="24"/>
          <w:szCs w:val="24"/>
          <w:lang w:val="en-GB"/>
        </w:rPr>
        <w:t xml:space="preserve"> these limitations, the habitat </w:t>
      </w:r>
      <w:r w:rsidRPr="00D961B9">
        <w:rPr>
          <w:rFonts w:ascii="Calibri" w:hAnsi="Calibri"/>
          <w:sz w:val="24"/>
          <w:szCs w:val="24"/>
          <w:lang w:val="en-GB"/>
        </w:rPr>
        <w:t xml:space="preserve">hectare approach is commonly used in </w:t>
      </w:r>
      <w:r w:rsidR="00A762A1" w:rsidRPr="00D961B9">
        <w:rPr>
          <w:rFonts w:ascii="Calibri" w:hAnsi="Calibri"/>
          <w:sz w:val="24"/>
          <w:szCs w:val="24"/>
          <w:lang w:val="en-GB"/>
        </w:rPr>
        <w:t>most</w:t>
      </w:r>
      <w:r w:rsidR="00EF55A5" w:rsidRPr="00D961B9">
        <w:rPr>
          <w:rFonts w:ascii="Calibri" w:hAnsi="Calibri"/>
          <w:sz w:val="24"/>
          <w:szCs w:val="24"/>
          <w:lang w:val="en-GB"/>
        </w:rPr>
        <w:t xml:space="preserve"> voluntary</w:t>
      </w:r>
      <w:r w:rsidR="00A762A1" w:rsidRPr="00D961B9">
        <w:rPr>
          <w:rFonts w:ascii="Calibri" w:hAnsi="Calibri"/>
          <w:sz w:val="24"/>
          <w:szCs w:val="24"/>
          <w:lang w:val="en-GB"/>
        </w:rPr>
        <w:t xml:space="preserve"> </w:t>
      </w:r>
      <w:r w:rsidRPr="00D961B9">
        <w:rPr>
          <w:rFonts w:ascii="Calibri" w:hAnsi="Calibri"/>
          <w:sz w:val="24"/>
          <w:szCs w:val="24"/>
          <w:lang w:val="en-GB"/>
        </w:rPr>
        <w:t>biodiversity offsetting initiatives</w:t>
      </w:r>
      <w:r w:rsidR="00EF55A5" w:rsidRPr="00D961B9">
        <w:rPr>
          <w:rFonts w:ascii="Calibri" w:hAnsi="Calibri"/>
          <w:sz w:val="24"/>
          <w:szCs w:val="24"/>
          <w:lang w:val="en-GB"/>
        </w:rPr>
        <w:t xml:space="preserve">, including </w:t>
      </w:r>
      <w:r w:rsidRPr="00D961B9">
        <w:rPr>
          <w:rFonts w:ascii="Calibri" w:hAnsi="Calibri"/>
          <w:sz w:val="24"/>
          <w:szCs w:val="24"/>
          <w:lang w:val="en-GB"/>
        </w:rPr>
        <w:t>in highly biodiverse areas</w:t>
      </w:r>
      <w:r w:rsidR="00025265" w:rsidRPr="00D961B9">
        <w:rPr>
          <w:rFonts w:ascii="Calibri" w:hAnsi="Calibri"/>
          <w:sz w:val="24"/>
          <w:szCs w:val="24"/>
          <w:lang w:val="en-GB"/>
        </w:rPr>
        <w:t>, e.g.</w:t>
      </w:r>
      <w:r w:rsidR="00CA4A93" w:rsidRPr="00D961B9">
        <w:rPr>
          <w:rFonts w:ascii="Calibri" w:hAnsi="Calibri"/>
          <w:sz w:val="24"/>
          <w:szCs w:val="24"/>
          <w:lang w:val="en-GB"/>
        </w:rPr>
        <w:t xml:space="preserve">, </w:t>
      </w:r>
      <w:r w:rsidR="00025265" w:rsidRPr="00D961B9">
        <w:rPr>
          <w:rFonts w:ascii="Calibri" w:hAnsi="Calibri"/>
          <w:sz w:val="24"/>
          <w:szCs w:val="24"/>
          <w:lang w:val="en-GB"/>
        </w:rPr>
        <w:t xml:space="preserve">in tropical forests </w:t>
      </w:r>
      <w:r w:rsidR="00A762A1" w:rsidRPr="00D961B9">
        <w:rPr>
          <w:rFonts w:ascii="Calibri" w:hAnsi="Calibri"/>
          <w:sz w:val="24"/>
          <w:szCs w:val="24"/>
          <w:lang w:val="en-GB"/>
        </w:rPr>
        <w:t xml:space="preserve">(Table </w:t>
      </w:r>
      <w:r w:rsidR="006B0A24" w:rsidRPr="00D961B9">
        <w:rPr>
          <w:rFonts w:ascii="Calibri" w:hAnsi="Calibri"/>
          <w:sz w:val="24"/>
          <w:szCs w:val="24"/>
          <w:lang w:val="en-GB"/>
        </w:rPr>
        <w:t>A.</w:t>
      </w:r>
      <w:r w:rsidR="00A762A1" w:rsidRPr="00D961B9">
        <w:rPr>
          <w:rFonts w:ascii="Calibri" w:hAnsi="Calibri"/>
          <w:sz w:val="24"/>
          <w:szCs w:val="24"/>
          <w:lang w:val="en-GB"/>
        </w:rPr>
        <w:t>1)</w:t>
      </w:r>
      <w:r w:rsidRPr="00D961B9">
        <w:rPr>
          <w:rFonts w:ascii="Calibri" w:hAnsi="Calibri"/>
          <w:sz w:val="24"/>
          <w:szCs w:val="24"/>
          <w:lang w:val="en-GB"/>
        </w:rPr>
        <w:t xml:space="preserve">. </w:t>
      </w:r>
      <w:r w:rsidR="002750E5" w:rsidRPr="00D961B9">
        <w:rPr>
          <w:rFonts w:ascii="Calibri" w:hAnsi="Calibri"/>
          <w:sz w:val="24"/>
          <w:szCs w:val="24"/>
          <w:lang w:val="en-GB"/>
        </w:rPr>
        <w:t>The question arises then</w:t>
      </w:r>
      <w:r w:rsidR="00C64784" w:rsidRPr="00D961B9">
        <w:rPr>
          <w:rFonts w:ascii="Calibri" w:hAnsi="Calibri"/>
          <w:sz w:val="24"/>
          <w:szCs w:val="24"/>
          <w:lang w:val="en-GB"/>
        </w:rPr>
        <w:t xml:space="preserve"> </w:t>
      </w:r>
      <w:r w:rsidR="002750E5" w:rsidRPr="00D961B9">
        <w:rPr>
          <w:rFonts w:ascii="Calibri" w:hAnsi="Calibri"/>
          <w:sz w:val="24"/>
          <w:szCs w:val="24"/>
          <w:lang w:val="en-GB"/>
        </w:rPr>
        <w:t xml:space="preserve">about the range of values obtained </w:t>
      </w:r>
      <w:r w:rsidR="00BA6D58" w:rsidRPr="00D961B9">
        <w:rPr>
          <w:rFonts w:ascii="Calibri" w:hAnsi="Calibri"/>
          <w:sz w:val="24"/>
          <w:szCs w:val="24"/>
          <w:lang w:val="en-GB"/>
        </w:rPr>
        <w:t>via the</w:t>
      </w:r>
      <w:r w:rsidR="000E06B2" w:rsidRPr="00D961B9">
        <w:rPr>
          <w:rFonts w:ascii="Calibri" w:hAnsi="Calibri"/>
          <w:sz w:val="24"/>
          <w:szCs w:val="24"/>
          <w:lang w:val="en-GB"/>
        </w:rPr>
        <w:t xml:space="preserve"> habitat hectare</w:t>
      </w:r>
      <w:r w:rsidR="00BA6D58" w:rsidRPr="00D961B9">
        <w:rPr>
          <w:rFonts w:ascii="Calibri" w:hAnsi="Calibri"/>
          <w:sz w:val="24"/>
          <w:szCs w:val="24"/>
          <w:lang w:val="en-GB"/>
        </w:rPr>
        <w:t xml:space="preserve"> approach</w:t>
      </w:r>
      <w:r w:rsidR="000E06B2" w:rsidRPr="00D961B9">
        <w:rPr>
          <w:rFonts w:ascii="Calibri" w:hAnsi="Calibri"/>
          <w:sz w:val="24"/>
          <w:szCs w:val="24"/>
          <w:lang w:val="en-GB"/>
        </w:rPr>
        <w:t xml:space="preserve"> </w:t>
      </w:r>
      <w:r w:rsidR="00F4327F" w:rsidRPr="00D961B9">
        <w:rPr>
          <w:rFonts w:ascii="Calibri" w:hAnsi="Calibri"/>
          <w:sz w:val="24"/>
          <w:szCs w:val="24"/>
          <w:lang w:val="en-GB"/>
        </w:rPr>
        <w:t>and what can be considered as</w:t>
      </w:r>
      <w:r w:rsidR="00C64784" w:rsidRPr="00D961B9">
        <w:rPr>
          <w:rFonts w:ascii="Calibri" w:hAnsi="Calibri"/>
          <w:sz w:val="24"/>
          <w:szCs w:val="24"/>
          <w:lang w:val="en-GB"/>
        </w:rPr>
        <w:t xml:space="preserve"> key biodiversity </w:t>
      </w:r>
      <w:r w:rsidR="00F05DC7" w:rsidRPr="00D961B9">
        <w:rPr>
          <w:rFonts w:ascii="Calibri" w:hAnsi="Calibri"/>
          <w:sz w:val="24"/>
          <w:szCs w:val="24"/>
          <w:lang w:val="en-GB"/>
        </w:rPr>
        <w:t>attributes</w:t>
      </w:r>
      <w:r w:rsidR="00C64784" w:rsidRPr="00D961B9">
        <w:rPr>
          <w:rFonts w:ascii="Calibri" w:hAnsi="Calibri"/>
          <w:sz w:val="24"/>
          <w:szCs w:val="24"/>
          <w:lang w:val="en-GB"/>
        </w:rPr>
        <w:t>?</w:t>
      </w:r>
      <w:r w:rsidR="000E06B2" w:rsidRPr="00D961B9">
        <w:rPr>
          <w:rFonts w:ascii="Calibri" w:hAnsi="Calibri"/>
          <w:sz w:val="24"/>
          <w:szCs w:val="24"/>
          <w:lang w:val="en-GB"/>
        </w:rPr>
        <w:t xml:space="preserve"> </w:t>
      </w:r>
    </w:p>
    <w:p w14:paraId="5BEB5222" w14:textId="77777777" w:rsidR="001D1511" w:rsidRPr="00D961B9" w:rsidRDefault="001D1511" w:rsidP="00F81E46">
      <w:pPr>
        <w:autoSpaceDE w:val="0"/>
        <w:autoSpaceDN w:val="0"/>
        <w:adjustRightInd w:val="0"/>
        <w:spacing w:after="0" w:line="288" w:lineRule="auto"/>
        <w:rPr>
          <w:rFonts w:ascii="Calibri" w:hAnsi="Calibri"/>
          <w:sz w:val="24"/>
          <w:szCs w:val="24"/>
          <w:lang w:val="en-GB"/>
        </w:rPr>
      </w:pPr>
    </w:p>
    <w:p w14:paraId="6DBADA89" w14:textId="69AAA08C" w:rsidR="00F81E46" w:rsidRPr="00D961B9" w:rsidRDefault="00CF26A0" w:rsidP="00F81E46">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Using existing empirical data for the </w:t>
      </w:r>
      <w:r w:rsidR="00BA6D58" w:rsidRPr="00D961B9">
        <w:rPr>
          <w:rFonts w:ascii="Calibri" w:hAnsi="Calibri"/>
          <w:sz w:val="24"/>
          <w:szCs w:val="24"/>
          <w:lang w:val="en-GB"/>
        </w:rPr>
        <w:t xml:space="preserve">aforementioned </w:t>
      </w:r>
      <w:r w:rsidRPr="00D961B9">
        <w:rPr>
          <w:rFonts w:ascii="Calibri" w:hAnsi="Calibri"/>
          <w:sz w:val="24"/>
          <w:szCs w:val="24"/>
          <w:lang w:val="en-GB"/>
        </w:rPr>
        <w:t>most advanced biodiversity offset project, that of Rio Tinto</w:t>
      </w:r>
      <w:r w:rsidR="00426CFA" w:rsidRPr="00D961B9">
        <w:rPr>
          <w:rFonts w:ascii="Calibri" w:hAnsi="Calibri"/>
          <w:sz w:val="24"/>
          <w:szCs w:val="24"/>
          <w:lang w:val="en-GB"/>
        </w:rPr>
        <w:t>-QMM</w:t>
      </w:r>
      <w:r w:rsidR="002750E5" w:rsidRPr="00D961B9">
        <w:rPr>
          <w:rFonts w:ascii="Calibri" w:hAnsi="Calibri"/>
          <w:sz w:val="24"/>
          <w:szCs w:val="24"/>
          <w:lang w:val="en-GB"/>
        </w:rPr>
        <w:t xml:space="preserve"> in the</w:t>
      </w:r>
      <w:r w:rsidRPr="00D961B9">
        <w:rPr>
          <w:rFonts w:ascii="Calibri" w:hAnsi="Calibri"/>
          <w:sz w:val="24"/>
          <w:szCs w:val="24"/>
          <w:lang w:val="en-GB"/>
        </w:rPr>
        <w:t xml:space="preserve"> littoral forest</w:t>
      </w:r>
      <w:r w:rsidR="002750E5" w:rsidRPr="00D961B9">
        <w:rPr>
          <w:rFonts w:ascii="Calibri" w:hAnsi="Calibri"/>
          <w:sz w:val="24"/>
          <w:szCs w:val="24"/>
          <w:lang w:val="en-GB"/>
        </w:rPr>
        <w:t xml:space="preserve"> of Madagascar</w:t>
      </w:r>
      <w:r w:rsidRPr="00D961B9">
        <w:rPr>
          <w:rFonts w:ascii="Calibri" w:hAnsi="Calibri"/>
          <w:sz w:val="24"/>
          <w:szCs w:val="24"/>
          <w:lang w:val="en-GB"/>
        </w:rPr>
        <w:t xml:space="preserve">, </w:t>
      </w:r>
      <w:r w:rsidR="002750E5" w:rsidRPr="00D961B9">
        <w:rPr>
          <w:rFonts w:ascii="Calibri" w:hAnsi="Calibri"/>
          <w:sz w:val="24"/>
          <w:szCs w:val="24"/>
          <w:lang w:val="en-GB"/>
        </w:rPr>
        <w:t xml:space="preserve">we demonstrate that </w:t>
      </w:r>
      <w:r w:rsidR="00126A3C" w:rsidRPr="00D961B9">
        <w:rPr>
          <w:rFonts w:ascii="Calibri" w:hAnsi="Calibri"/>
          <w:sz w:val="24"/>
          <w:szCs w:val="24"/>
          <w:lang w:val="en-GB"/>
        </w:rPr>
        <w:t xml:space="preserve">measurement of </w:t>
      </w:r>
      <w:r w:rsidR="002750E5" w:rsidRPr="00D961B9">
        <w:rPr>
          <w:rFonts w:ascii="Calibri" w:hAnsi="Calibri"/>
          <w:sz w:val="24"/>
          <w:szCs w:val="24"/>
          <w:lang w:val="en-GB"/>
        </w:rPr>
        <w:t xml:space="preserve">biodiversity </w:t>
      </w:r>
      <w:r w:rsidR="00F05DC7" w:rsidRPr="00D961B9">
        <w:rPr>
          <w:rFonts w:ascii="Calibri" w:hAnsi="Calibri"/>
          <w:sz w:val="24"/>
          <w:szCs w:val="24"/>
          <w:lang w:val="en-GB"/>
        </w:rPr>
        <w:t>attributes</w:t>
      </w:r>
      <w:r w:rsidR="002750E5" w:rsidRPr="00D961B9">
        <w:rPr>
          <w:rFonts w:ascii="Calibri" w:hAnsi="Calibri"/>
          <w:sz w:val="24"/>
          <w:szCs w:val="24"/>
          <w:lang w:val="en-GB"/>
        </w:rPr>
        <w:t xml:space="preserve"> </w:t>
      </w:r>
      <w:r w:rsidR="00126A3C" w:rsidRPr="00D961B9">
        <w:rPr>
          <w:rFonts w:ascii="Calibri" w:hAnsi="Calibri"/>
          <w:sz w:val="24"/>
          <w:szCs w:val="24"/>
          <w:lang w:val="en-GB"/>
        </w:rPr>
        <w:t xml:space="preserve">via various habitat hectare methods </w:t>
      </w:r>
      <w:r w:rsidR="002750E5" w:rsidRPr="00D961B9">
        <w:rPr>
          <w:rFonts w:ascii="Calibri" w:hAnsi="Calibri"/>
          <w:sz w:val="24"/>
          <w:szCs w:val="24"/>
          <w:lang w:val="en-GB"/>
        </w:rPr>
        <w:t>can vary enormously in a landscape (</w:t>
      </w:r>
      <w:r w:rsidR="006B0A24" w:rsidRPr="00D961B9">
        <w:rPr>
          <w:rFonts w:ascii="Calibri" w:hAnsi="Calibri"/>
          <w:sz w:val="24"/>
          <w:szCs w:val="24"/>
          <w:lang w:val="en-GB"/>
        </w:rPr>
        <w:t>Table A.2</w:t>
      </w:r>
      <w:r w:rsidR="002750E5" w:rsidRPr="00D961B9">
        <w:rPr>
          <w:rFonts w:ascii="Calibri" w:hAnsi="Calibri"/>
          <w:sz w:val="24"/>
          <w:szCs w:val="24"/>
          <w:lang w:val="en-GB"/>
        </w:rPr>
        <w:t xml:space="preserve">). </w:t>
      </w:r>
      <w:r w:rsidR="00F05DC7" w:rsidRPr="00D961B9">
        <w:rPr>
          <w:rFonts w:ascii="Calibri" w:hAnsi="Calibri"/>
          <w:sz w:val="24"/>
          <w:szCs w:val="24"/>
          <w:lang w:val="en-GB"/>
        </w:rPr>
        <w:t>For example, the</w:t>
      </w:r>
      <w:r w:rsidR="002750E5" w:rsidRPr="00D961B9">
        <w:rPr>
          <w:rFonts w:ascii="Calibri" w:hAnsi="Calibri"/>
          <w:sz w:val="24"/>
          <w:szCs w:val="24"/>
          <w:lang w:val="en-GB"/>
        </w:rPr>
        <w:t xml:space="preserve"> total habitat hectare</w:t>
      </w:r>
      <w:r w:rsidR="00BA6D58" w:rsidRPr="00D961B9">
        <w:rPr>
          <w:rFonts w:ascii="Calibri" w:hAnsi="Calibri"/>
          <w:sz w:val="24"/>
          <w:szCs w:val="24"/>
          <w:lang w:val="en-GB"/>
        </w:rPr>
        <w:t>s</w:t>
      </w:r>
      <w:r w:rsidR="002750E5" w:rsidRPr="00D961B9">
        <w:rPr>
          <w:rFonts w:ascii="Calibri" w:hAnsi="Calibri"/>
          <w:sz w:val="24"/>
          <w:szCs w:val="24"/>
          <w:lang w:val="en-GB"/>
        </w:rPr>
        <w:t xml:space="preserve"> impacted could vary from 680 habitat hectares using the Rio Tinto-QMM methodology based on vertical structure </w:t>
      </w:r>
      <w:r w:rsidR="001479EB" w:rsidRPr="00D961B9">
        <w:rPr>
          <w:rFonts w:ascii="Calibri" w:hAnsi="Calibri"/>
          <w:sz w:val="24"/>
          <w:szCs w:val="24"/>
          <w:lang w:val="en-GB"/>
        </w:rPr>
        <w:t>of the forest</w:t>
      </w:r>
      <w:r w:rsidR="002750E5" w:rsidRPr="00D961B9">
        <w:rPr>
          <w:rFonts w:ascii="Calibri" w:hAnsi="Calibri"/>
          <w:sz w:val="24"/>
          <w:szCs w:val="24"/>
          <w:lang w:val="en-GB"/>
        </w:rPr>
        <w:t>, to 1480 habitat hectares using plant diversity as a measure, or 1</w:t>
      </w:r>
      <w:r w:rsidR="00C27913" w:rsidRPr="00D961B9">
        <w:rPr>
          <w:rFonts w:ascii="Calibri" w:hAnsi="Calibri"/>
          <w:sz w:val="24"/>
          <w:szCs w:val="24"/>
          <w:lang w:val="en-GB"/>
        </w:rPr>
        <w:t>,</w:t>
      </w:r>
      <w:r w:rsidR="002750E5" w:rsidRPr="00D961B9">
        <w:rPr>
          <w:rFonts w:ascii="Calibri" w:hAnsi="Calibri"/>
          <w:sz w:val="24"/>
          <w:szCs w:val="24"/>
          <w:lang w:val="en-GB"/>
        </w:rPr>
        <w:t>217 habitat hectares impacted, for the average value between plant and bird diversity, or 1</w:t>
      </w:r>
      <w:r w:rsidR="00C27913" w:rsidRPr="00D961B9">
        <w:rPr>
          <w:rFonts w:ascii="Calibri" w:hAnsi="Calibri"/>
          <w:sz w:val="24"/>
          <w:szCs w:val="24"/>
          <w:lang w:val="en-GB"/>
        </w:rPr>
        <w:t>,</w:t>
      </w:r>
      <w:r w:rsidR="002750E5" w:rsidRPr="00D961B9">
        <w:rPr>
          <w:rFonts w:ascii="Calibri" w:hAnsi="Calibri"/>
          <w:sz w:val="24"/>
          <w:szCs w:val="24"/>
          <w:lang w:val="en-GB"/>
        </w:rPr>
        <w:t>396 habitat hectares using the utilitarian value of plant diversity to local communities</w:t>
      </w:r>
      <w:r w:rsidR="005D06CF" w:rsidRPr="00D961B9">
        <w:rPr>
          <w:rFonts w:ascii="Calibri" w:hAnsi="Calibri"/>
          <w:sz w:val="24"/>
          <w:szCs w:val="24"/>
          <w:lang w:val="en-GB"/>
        </w:rPr>
        <w:t xml:space="preserve"> (</w:t>
      </w:r>
      <w:r w:rsidR="006B0A24" w:rsidRPr="00D961B9">
        <w:rPr>
          <w:rFonts w:ascii="Calibri" w:hAnsi="Calibri"/>
          <w:sz w:val="24"/>
          <w:szCs w:val="24"/>
          <w:lang w:val="en-GB"/>
        </w:rPr>
        <w:t>Table A.2</w:t>
      </w:r>
      <w:r w:rsidR="00D07A66" w:rsidRPr="00D961B9">
        <w:rPr>
          <w:rFonts w:ascii="Calibri" w:hAnsi="Calibri"/>
          <w:sz w:val="24"/>
          <w:szCs w:val="24"/>
          <w:lang w:val="en-GB"/>
        </w:rPr>
        <w:t xml:space="preserve">, Figure </w:t>
      </w:r>
      <w:r w:rsidR="006B0A24" w:rsidRPr="00D961B9">
        <w:rPr>
          <w:rFonts w:ascii="Calibri" w:hAnsi="Calibri"/>
          <w:sz w:val="24"/>
          <w:szCs w:val="24"/>
          <w:lang w:val="en-GB"/>
        </w:rPr>
        <w:t>A.</w:t>
      </w:r>
      <w:r w:rsidR="00771574" w:rsidRPr="00D961B9">
        <w:rPr>
          <w:rFonts w:ascii="Calibri" w:hAnsi="Calibri"/>
          <w:sz w:val="24"/>
          <w:szCs w:val="24"/>
          <w:lang w:val="en-GB"/>
        </w:rPr>
        <w:t>2</w:t>
      </w:r>
      <w:r w:rsidR="00D07A66" w:rsidRPr="00D961B9">
        <w:rPr>
          <w:rFonts w:ascii="Calibri" w:hAnsi="Calibri"/>
          <w:sz w:val="24"/>
          <w:szCs w:val="24"/>
          <w:lang w:val="en-GB"/>
        </w:rPr>
        <w:t>a</w:t>
      </w:r>
      <w:r w:rsidR="005D06CF" w:rsidRPr="00D961B9">
        <w:rPr>
          <w:rFonts w:ascii="Calibri" w:hAnsi="Calibri"/>
          <w:sz w:val="24"/>
          <w:szCs w:val="24"/>
          <w:lang w:val="en-GB"/>
        </w:rPr>
        <w:t xml:space="preserve">). The utilitarian value of the landscape </w:t>
      </w:r>
      <w:r w:rsidR="00126A3C" w:rsidRPr="00D961B9">
        <w:rPr>
          <w:rFonts w:ascii="Calibri" w:hAnsi="Calibri"/>
          <w:sz w:val="24"/>
          <w:szCs w:val="24"/>
          <w:lang w:val="en-GB"/>
        </w:rPr>
        <w:t xml:space="preserve">to local communities </w:t>
      </w:r>
      <w:r w:rsidR="005D06CF" w:rsidRPr="00D961B9">
        <w:rPr>
          <w:rFonts w:ascii="Calibri" w:hAnsi="Calibri"/>
          <w:sz w:val="24"/>
          <w:szCs w:val="24"/>
          <w:lang w:val="en-GB"/>
        </w:rPr>
        <w:t xml:space="preserve">is arguably helpful in achieving effective conservation, considering </w:t>
      </w:r>
      <w:r w:rsidR="00126A3C" w:rsidRPr="00D961B9">
        <w:rPr>
          <w:rFonts w:ascii="Calibri" w:hAnsi="Calibri"/>
          <w:sz w:val="24"/>
          <w:szCs w:val="24"/>
          <w:lang w:val="en-GB"/>
        </w:rPr>
        <w:t xml:space="preserve">the </w:t>
      </w:r>
      <w:r w:rsidR="005D06CF" w:rsidRPr="00D961B9">
        <w:rPr>
          <w:rFonts w:ascii="Calibri" w:hAnsi="Calibri"/>
          <w:sz w:val="24"/>
          <w:szCs w:val="24"/>
          <w:lang w:val="en-GB"/>
        </w:rPr>
        <w:t xml:space="preserve">opportunity costs to </w:t>
      </w:r>
      <w:r w:rsidR="00126A3C" w:rsidRPr="00D961B9">
        <w:rPr>
          <w:rFonts w:ascii="Calibri" w:hAnsi="Calibri"/>
          <w:sz w:val="24"/>
          <w:szCs w:val="24"/>
          <w:lang w:val="en-GB"/>
        </w:rPr>
        <w:t xml:space="preserve">such </w:t>
      </w:r>
      <w:r w:rsidR="005D06CF" w:rsidRPr="00D961B9">
        <w:rPr>
          <w:rFonts w:ascii="Calibri" w:hAnsi="Calibri"/>
          <w:sz w:val="24"/>
          <w:szCs w:val="24"/>
          <w:lang w:val="en-GB"/>
        </w:rPr>
        <w:t>communities</w:t>
      </w:r>
      <w:r w:rsidR="002750E5" w:rsidRPr="00D961B9">
        <w:rPr>
          <w:rFonts w:ascii="Calibri" w:hAnsi="Calibri"/>
          <w:sz w:val="24"/>
          <w:szCs w:val="24"/>
          <w:lang w:val="en-GB"/>
        </w:rPr>
        <w:t>. This is compared</w:t>
      </w:r>
      <w:r w:rsidR="001479EB" w:rsidRPr="00D961B9">
        <w:rPr>
          <w:rFonts w:ascii="Calibri" w:hAnsi="Calibri"/>
          <w:sz w:val="24"/>
          <w:szCs w:val="24"/>
          <w:lang w:val="en-GB"/>
        </w:rPr>
        <w:t xml:space="preserve"> to 1</w:t>
      </w:r>
      <w:r w:rsidR="00C27913" w:rsidRPr="00D961B9">
        <w:rPr>
          <w:rFonts w:ascii="Calibri" w:hAnsi="Calibri"/>
          <w:sz w:val="24"/>
          <w:szCs w:val="24"/>
          <w:lang w:val="en-GB"/>
        </w:rPr>
        <w:t>,</w:t>
      </w:r>
      <w:r w:rsidR="001479EB" w:rsidRPr="00D961B9">
        <w:rPr>
          <w:rFonts w:ascii="Calibri" w:hAnsi="Calibri"/>
          <w:sz w:val="24"/>
          <w:szCs w:val="24"/>
          <w:lang w:val="en-GB"/>
        </w:rPr>
        <w:t>56</w:t>
      </w:r>
      <w:r w:rsidR="002750E5" w:rsidRPr="00D961B9">
        <w:rPr>
          <w:rFonts w:ascii="Calibri" w:hAnsi="Calibri"/>
          <w:sz w:val="24"/>
          <w:szCs w:val="24"/>
          <w:lang w:val="en-GB"/>
        </w:rPr>
        <w:t>0 hectares of forest affected directly by the mine</w:t>
      </w:r>
      <w:r w:rsidR="00D07A66" w:rsidRPr="00D961B9">
        <w:rPr>
          <w:rFonts w:ascii="Calibri" w:hAnsi="Calibri"/>
          <w:sz w:val="24"/>
          <w:szCs w:val="24"/>
          <w:lang w:val="en-GB"/>
        </w:rPr>
        <w:t xml:space="preserve"> (Figure </w:t>
      </w:r>
      <w:r w:rsidR="006B0A24" w:rsidRPr="00D961B9">
        <w:rPr>
          <w:rFonts w:ascii="Calibri" w:hAnsi="Calibri"/>
          <w:sz w:val="24"/>
          <w:szCs w:val="24"/>
          <w:lang w:val="en-GB"/>
        </w:rPr>
        <w:t>A.</w:t>
      </w:r>
      <w:r w:rsidR="00771574" w:rsidRPr="00D961B9">
        <w:rPr>
          <w:rFonts w:ascii="Calibri" w:hAnsi="Calibri"/>
          <w:sz w:val="24"/>
          <w:szCs w:val="24"/>
          <w:lang w:val="en-GB"/>
        </w:rPr>
        <w:t>2</w:t>
      </w:r>
      <w:r w:rsidR="00D07A66" w:rsidRPr="00D961B9">
        <w:rPr>
          <w:rFonts w:ascii="Calibri" w:hAnsi="Calibri"/>
          <w:sz w:val="24"/>
          <w:szCs w:val="24"/>
          <w:lang w:val="en-GB"/>
        </w:rPr>
        <w:t>a)</w:t>
      </w:r>
      <w:r w:rsidR="002750E5" w:rsidRPr="00D961B9">
        <w:rPr>
          <w:rFonts w:ascii="Calibri" w:hAnsi="Calibri"/>
          <w:sz w:val="24"/>
          <w:szCs w:val="24"/>
          <w:lang w:val="en-GB"/>
        </w:rPr>
        <w:t xml:space="preserve">. Thus, our analysis indicates the limitations of relying on any one indicator to determine overall biodiversity value for a particular site.  </w:t>
      </w:r>
    </w:p>
    <w:p w14:paraId="345EA119" w14:textId="77777777" w:rsidR="00F81E46" w:rsidRPr="00D961B9" w:rsidRDefault="00F81E46" w:rsidP="00F81E46">
      <w:pPr>
        <w:autoSpaceDE w:val="0"/>
        <w:autoSpaceDN w:val="0"/>
        <w:adjustRightInd w:val="0"/>
        <w:spacing w:after="0" w:line="288" w:lineRule="auto"/>
        <w:rPr>
          <w:rFonts w:ascii="Calibri" w:hAnsi="Calibri"/>
          <w:sz w:val="24"/>
          <w:szCs w:val="24"/>
          <w:lang w:val="en-GB"/>
        </w:rPr>
      </w:pPr>
    </w:p>
    <w:p w14:paraId="2D570224" w14:textId="1F646F07" w:rsidR="007A2A20" w:rsidRPr="00D961B9" w:rsidRDefault="00866460" w:rsidP="000B6BE6">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The habitat hectare approach attempts to deal with different biodiversity attributes by using a weight</w:t>
      </w:r>
      <w:r w:rsidR="00126A3C" w:rsidRPr="00D961B9">
        <w:rPr>
          <w:rFonts w:ascii="Calibri" w:hAnsi="Calibri"/>
          <w:sz w:val="24"/>
          <w:szCs w:val="24"/>
          <w:lang w:val="en-GB"/>
        </w:rPr>
        <w:t>ing</w:t>
      </w:r>
      <w:r w:rsidRPr="00D961B9">
        <w:rPr>
          <w:rFonts w:ascii="Calibri" w:hAnsi="Calibri"/>
          <w:sz w:val="24"/>
          <w:szCs w:val="24"/>
          <w:lang w:val="en-GB"/>
        </w:rPr>
        <w:t xml:space="preserve"> system for biodiversity attributes, based on what i</w:t>
      </w:r>
      <w:r w:rsidR="008F3779" w:rsidRPr="00D961B9">
        <w:rPr>
          <w:rFonts w:ascii="Calibri" w:hAnsi="Calibri"/>
          <w:sz w:val="24"/>
          <w:szCs w:val="24"/>
          <w:lang w:val="en-GB"/>
        </w:rPr>
        <w:t>s</w:t>
      </w:r>
      <w:r w:rsidRPr="00D961B9">
        <w:rPr>
          <w:rFonts w:ascii="Calibri" w:hAnsi="Calibri"/>
          <w:sz w:val="24"/>
          <w:szCs w:val="24"/>
          <w:lang w:val="en-GB"/>
        </w:rPr>
        <w:t xml:space="preserve"> consider</w:t>
      </w:r>
      <w:r w:rsidR="008F3779" w:rsidRPr="00D961B9">
        <w:rPr>
          <w:rFonts w:ascii="Calibri" w:hAnsi="Calibri"/>
          <w:sz w:val="24"/>
          <w:szCs w:val="24"/>
          <w:lang w:val="en-GB"/>
        </w:rPr>
        <w:t>ed</w:t>
      </w:r>
      <w:r w:rsidRPr="00D961B9">
        <w:rPr>
          <w:rFonts w:ascii="Calibri" w:hAnsi="Calibri"/>
          <w:sz w:val="24"/>
          <w:szCs w:val="24"/>
          <w:lang w:val="en-GB"/>
        </w:rPr>
        <w:t xml:space="preserve"> as contributing most to ecological viability (Table </w:t>
      </w:r>
      <w:r w:rsidR="006B0A24" w:rsidRPr="00D961B9">
        <w:rPr>
          <w:rFonts w:ascii="Calibri" w:hAnsi="Calibri"/>
          <w:sz w:val="24"/>
          <w:szCs w:val="24"/>
          <w:lang w:val="en-GB"/>
        </w:rPr>
        <w:t>A.</w:t>
      </w:r>
      <w:r w:rsidRPr="00D961B9">
        <w:rPr>
          <w:rFonts w:ascii="Calibri" w:hAnsi="Calibri"/>
          <w:sz w:val="24"/>
          <w:szCs w:val="24"/>
          <w:lang w:val="en-GB"/>
        </w:rPr>
        <w:t>1). A</w:t>
      </w:r>
      <w:r w:rsidR="00AF08EF" w:rsidRPr="00D961B9">
        <w:rPr>
          <w:rFonts w:ascii="Calibri" w:hAnsi="Calibri"/>
          <w:sz w:val="24"/>
          <w:szCs w:val="24"/>
          <w:lang w:val="en-GB"/>
        </w:rPr>
        <w:t xml:space="preserve"> </w:t>
      </w:r>
      <w:r w:rsidR="006C3273" w:rsidRPr="00D961B9">
        <w:rPr>
          <w:rFonts w:ascii="Calibri" w:hAnsi="Calibri"/>
          <w:sz w:val="24"/>
          <w:szCs w:val="24"/>
          <w:lang w:val="en-GB"/>
        </w:rPr>
        <w:t>weight</w:t>
      </w:r>
      <w:r w:rsidR="008F3779" w:rsidRPr="00D961B9">
        <w:rPr>
          <w:rFonts w:ascii="Calibri" w:hAnsi="Calibri"/>
          <w:sz w:val="24"/>
          <w:szCs w:val="24"/>
          <w:lang w:val="en-GB"/>
        </w:rPr>
        <w:t>ing</w:t>
      </w:r>
      <w:r w:rsidR="006C3273" w:rsidRPr="00D961B9">
        <w:rPr>
          <w:rFonts w:ascii="Calibri" w:hAnsi="Calibri"/>
          <w:sz w:val="24"/>
          <w:szCs w:val="24"/>
          <w:lang w:val="en-GB"/>
        </w:rPr>
        <w:t xml:space="preserve"> system </w:t>
      </w:r>
      <w:r w:rsidRPr="00D961B9">
        <w:rPr>
          <w:rFonts w:ascii="Calibri" w:hAnsi="Calibri"/>
          <w:sz w:val="24"/>
          <w:szCs w:val="24"/>
          <w:lang w:val="en-GB"/>
        </w:rPr>
        <w:t>has also</w:t>
      </w:r>
      <w:r w:rsidR="006C3273" w:rsidRPr="00D961B9">
        <w:rPr>
          <w:rFonts w:ascii="Calibri" w:hAnsi="Calibri"/>
          <w:sz w:val="24"/>
          <w:szCs w:val="24"/>
          <w:lang w:val="en-GB"/>
        </w:rPr>
        <w:t xml:space="preserve"> being adopted as the standard </w:t>
      </w:r>
      <w:r w:rsidRPr="00D961B9">
        <w:rPr>
          <w:rFonts w:ascii="Calibri" w:hAnsi="Calibri"/>
          <w:sz w:val="24"/>
          <w:szCs w:val="24"/>
          <w:lang w:val="en-GB"/>
        </w:rPr>
        <w:t>practice in voluntary biodiversity offset initiatives (</w:t>
      </w:r>
      <w:r w:rsidR="00AF08EF" w:rsidRPr="00D961B9">
        <w:rPr>
          <w:rFonts w:ascii="Calibri" w:hAnsi="Calibri"/>
          <w:sz w:val="24"/>
          <w:szCs w:val="24"/>
          <w:lang w:val="en-GB"/>
        </w:rPr>
        <w:t xml:space="preserve">Table </w:t>
      </w:r>
      <w:r w:rsidR="006B0A24" w:rsidRPr="00D961B9">
        <w:rPr>
          <w:rFonts w:ascii="Calibri" w:hAnsi="Calibri"/>
          <w:sz w:val="24"/>
          <w:szCs w:val="24"/>
          <w:lang w:val="en-GB"/>
        </w:rPr>
        <w:t>A.</w:t>
      </w:r>
      <w:r w:rsidR="00AF08EF" w:rsidRPr="00D961B9">
        <w:rPr>
          <w:rFonts w:ascii="Calibri" w:hAnsi="Calibri"/>
          <w:sz w:val="24"/>
          <w:szCs w:val="24"/>
          <w:lang w:val="en-GB"/>
        </w:rPr>
        <w:t>1)</w:t>
      </w:r>
      <w:r w:rsidRPr="00D961B9">
        <w:rPr>
          <w:rFonts w:ascii="Calibri" w:hAnsi="Calibri"/>
          <w:sz w:val="24"/>
          <w:szCs w:val="24"/>
          <w:lang w:val="en-GB"/>
        </w:rPr>
        <w:t xml:space="preserve"> and each </w:t>
      </w:r>
      <w:r w:rsidR="008F3779" w:rsidRPr="00D961B9">
        <w:rPr>
          <w:rFonts w:ascii="Calibri" w:hAnsi="Calibri"/>
          <w:sz w:val="24"/>
          <w:szCs w:val="24"/>
          <w:lang w:val="en-GB"/>
        </w:rPr>
        <w:t xml:space="preserve">offsetting </w:t>
      </w:r>
      <w:r w:rsidR="00126A3C" w:rsidRPr="00D961B9">
        <w:rPr>
          <w:rFonts w:ascii="Calibri" w:hAnsi="Calibri"/>
          <w:sz w:val="24"/>
          <w:szCs w:val="24"/>
          <w:lang w:val="en-GB"/>
        </w:rPr>
        <w:t xml:space="preserve">case </w:t>
      </w:r>
      <w:r w:rsidRPr="00D961B9">
        <w:rPr>
          <w:rFonts w:ascii="Calibri" w:hAnsi="Calibri"/>
          <w:sz w:val="24"/>
          <w:szCs w:val="24"/>
          <w:lang w:val="en-GB"/>
        </w:rPr>
        <w:t xml:space="preserve">study </w:t>
      </w:r>
      <w:r w:rsidR="008F3779" w:rsidRPr="00D961B9">
        <w:rPr>
          <w:rFonts w:ascii="Calibri" w:hAnsi="Calibri"/>
          <w:sz w:val="24"/>
          <w:szCs w:val="24"/>
          <w:lang w:val="en-GB"/>
        </w:rPr>
        <w:t xml:space="preserve">discussed here </w:t>
      </w:r>
      <w:r w:rsidRPr="00D961B9">
        <w:rPr>
          <w:rFonts w:ascii="Calibri" w:hAnsi="Calibri"/>
          <w:sz w:val="24"/>
          <w:szCs w:val="24"/>
          <w:lang w:val="en-GB"/>
        </w:rPr>
        <w:t>has developed</w:t>
      </w:r>
      <w:r w:rsidR="008F3779" w:rsidRPr="00D961B9">
        <w:rPr>
          <w:rFonts w:ascii="Calibri" w:hAnsi="Calibri"/>
          <w:sz w:val="24"/>
          <w:szCs w:val="24"/>
          <w:lang w:val="en-GB"/>
        </w:rPr>
        <w:t xml:space="preserve"> and used</w:t>
      </w:r>
      <w:r w:rsidRPr="00D961B9">
        <w:rPr>
          <w:rFonts w:ascii="Calibri" w:hAnsi="Calibri"/>
          <w:sz w:val="24"/>
          <w:szCs w:val="24"/>
          <w:lang w:val="en-GB"/>
        </w:rPr>
        <w:t xml:space="preserve"> its own weighting system.</w:t>
      </w:r>
      <w:r w:rsidR="000C7838" w:rsidRPr="00D961B9">
        <w:rPr>
          <w:rFonts w:ascii="Calibri" w:hAnsi="Calibri"/>
          <w:sz w:val="24"/>
          <w:szCs w:val="24"/>
          <w:lang w:val="en-GB"/>
        </w:rPr>
        <w:t xml:space="preserve"> </w:t>
      </w:r>
      <w:r w:rsidR="007A2A20" w:rsidRPr="00D961B9">
        <w:rPr>
          <w:rFonts w:ascii="Calibri" w:hAnsi="Calibri"/>
          <w:sz w:val="24"/>
          <w:szCs w:val="24"/>
          <w:lang w:val="en-GB"/>
        </w:rPr>
        <w:t>But a</w:t>
      </w:r>
      <w:r w:rsidR="0030625E" w:rsidRPr="00D961B9">
        <w:rPr>
          <w:rFonts w:ascii="Calibri" w:hAnsi="Calibri"/>
          <w:sz w:val="24"/>
          <w:szCs w:val="24"/>
          <w:lang w:val="en-GB"/>
        </w:rPr>
        <w:t xml:space="preserve">doption of a single measure </w:t>
      </w:r>
      <w:r w:rsidR="008F3779" w:rsidRPr="00D961B9">
        <w:rPr>
          <w:rFonts w:ascii="Calibri" w:hAnsi="Calibri"/>
          <w:sz w:val="24"/>
          <w:szCs w:val="24"/>
          <w:lang w:val="en-GB"/>
        </w:rPr>
        <w:t>in relation to</w:t>
      </w:r>
      <w:r w:rsidR="0030625E" w:rsidRPr="00D961B9">
        <w:rPr>
          <w:rFonts w:ascii="Calibri" w:hAnsi="Calibri"/>
          <w:sz w:val="24"/>
          <w:szCs w:val="24"/>
          <w:lang w:val="en-GB"/>
        </w:rPr>
        <w:t xml:space="preserve"> a weight</w:t>
      </w:r>
      <w:r w:rsidR="008F3779" w:rsidRPr="00D961B9">
        <w:rPr>
          <w:rFonts w:ascii="Calibri" w:hAnsi="Calibri"/>
          <w:sz w:val="24"/>
          <w:szCs w:val="24"/>
          <w:lang w:val="en-GB"/>
        </w:rPr>
        <w:t>ing</w:t>
      </w:r>
      <w:r w:rsidR="0030625E" w:rsidRPr="00D961B9">
        <w:rPr>
          <w:rFonts w:ascii="Calibri" w:hAnsi="Calibri"/>
          <w:sz w:val="24"/>
          <w:szCs w:val="24"/>
          <w:lang w:val="en-GB"/>
        </w:rPr>
        <w:t xml:space="preserve"> system to characterise biodiversity can potentially pose a fundamental challenge for objectively calculating </w:t>
      </w:r>
      <w:r w:rsidR="008F3779" w:rsidRPr="00D961B9">
        <w:rPr>
          <w:rFonts w:ascii="Calibri" w:hAnsi="Calibri"/>
          <w:sz w:val="24"/>
          <w:szCs w:val="24"/>
          <w:lang w:val="en-GB"/>
        </w:rPr>
        <w:t xml:space="preserve">the </w:t>
      </w:r>
      <w:r w:rsidR="0030625E" w:rsidRPr="00D961B9">
        <w:rPr>
          <w:rFonts w:ascii="Calibri" w:hAnsi="Calibri"/>
          <w:sz w:val="24"/>
          <w:szCs w:val="24"/>
          <w:lang w:val="en-GB"/>
        </w:rPr>
        <w:t>impacts of a development to determine the adequacy of compensatory measures</w:t>
      </w:r>
      <w:r w:rsidR="007A2A20" w:rsidRPr="00D961B9">
        <w:rPr>
          <w:rFonts w:ascii="Calibri" w:hAnsi="Calibri"/>
          <w:sz w:val="24"/>
          <w:szCs w:val="24"/>
          <w:lang w:val="en-GB"/>
        </w:rPr>
        <w:t xml:space="preserve">, if measures vary </w:t>
      </w:r>
      <w:r w:rsidR="008F3779" w:rsidRPr="00D961B9">
        <w:rPr>
          <w:rFonts w:ascii="Calibri" w:hAnsi="Calibri"/>
          <w:sz w:val="24"/>
          <w:szCs w:val="24"/>
          <w:lang w:val="en-GB"/>
        </w:rPr>
        <w:t xml:space="preserve">very significantly </w:t>
      </w:r>
      <w:r w:rsidR="007A2A20" w:rsidRPr="00D961B9">
        <w:rPr>
          <w:rFonts w:ascii="Calibri" w:hAnsi="Calibri"/>
          <w:sz w:val="24"/>
          <w:szCs w:val="24"/>
          <w:lang w:val="en-GB"/>
        </w:rPr>
        <w:t xml:space="preserve">as we showed in the case above. </w:t>
      </w:r>
    </w:p>
    <w:p w14:paraId="7DF9F28B" w14:textId="77777777" w:rsidR="007A2A20" w:rsidRPr="00D961B9" w:rsidRDefault="007A2A20" w:rsidP="000B6BE6">
      <w:pPr>
        <w:autoSpaceDE w:val="0"/>
        <w:autoSpaceDN w:val="0"/>
        <w:adjustRightInd w:val="0"/>
        <w:spacing w:after="0" w:line="288" w:lineRule="auto"/>
        <w:rPr>
          <w:rFonts w:ascii="Calibri" w:hAnsi="Calibri"/>
          <w:sz w:val="24"/>
          <w:szCs w:val="24"/>
          <w:lang w:val="en-GB"/>
        </w:rPr>
      </w:pPr>
    </w:p>
    <w:p w14:paraId="78DACC08" w14:textId="18F83A5C" w:rsidR="00F4327F" w:rsidRPr="00D961B9" w:rsidRDefault="00514B88" w:rsidP="000B6BE6">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lastRenderedPageBreak/>
        <w:t>We therefore</w:t>
      </w:r>
      <w:r w:rsidR="0030625E" w:rsidRPr="00D961B9">
        <w:rPr>
          <w:rFonts w:ascii="Calibri" w:hAnsi="Calibri"/>
          <w:sz w:val="24"/>
          <w:szCs w:val="24"/>
          <w:lang w:val="en-GB"/>
        </w:rPr>
        <w:t xml:space="preserve"> </w:t>
      </w:r>
      <w:r w:rsidR="00F81E46" w:rsidRPr="00D961B9">
        <w:rPr>
          <w:rFonts w:ascii="Calibri" w:hAnsi="Calibri"/>
          <w:sz w:val="24"/>
          <w:szCs w:val="24"/>
          <w:lang w:val="en-GB"/>
        </w:rPr>
        <w:t xml:space="preserve">recommend that </w:t>
      </w:r>
      <w:r w:rsidR="006C3273" w:rsidRPr="00D961B9">
        <w:rPr>
          <w:rFonts w:ascii="Calibri" w:hAnsi="Calibri"/>
          <w:sz w:val="24"/>
          <w:szCs w:val="24"/>
          <w:lang w:val="en-GB"/>
        </w:rPr>
        <w:t xml:space="preserve">ecologists working on biodiversity offsets must </w:t>
      </w:r>
      <w:r w:rsidRPr="00D961B9">
        <w:rPr>
          <w:rFonts w:ascii="Calibri" w:hAnsi="Calibri"/>
          <w:sz w:val="24"/>
          <w:szCs w:val="24"/>
          <w:lang w:val="en-GB"/>
        </w:rPr>
        <w:t>clearly</w:t>
      </w:r>
      <w:r w:rsidR="006C3273" w:rsidRPr="00D961B9">
        <w:rPr>
          <w:rFonts w:ascii="Calibri" w:hAnsi="Calibri"/>
          <w:sz w:val="24"/>
          <w:szCs w:val="24"/>
          <w:lang w:val="en-GB"/>
        </w:rPr>
        <w:t xml:space="preserve"> communicate to policy-makers, industrial stakeholders and civil society that collapsing the multi-faceted dimensions of biodiversity into a single unit will necessarily remain arbitrary and will conflate and obscure </w:t>
      </w:r>
      <w:r w:rsidR="008F3779" w:rsidRPr="00D961B9">
        <w:rPr>
          <w:rFonts w:ascii="Calibri" w:hAnsi="Calibri"/>
          <w:sz w:val="24"/>
          <w:szCs w:val="24"/>
          <w:lang w:val="en-GB"/>
        </w:rPr>
        <w:t xml:space="preserve">the </w:t>
      </w:r>
      <w:r w:rsidR="006C3273" w:rsidRPr="00D961B9">
        <w:rPr>
          <w:rFonts w:ascii="Calibri" w:hAnsi="Calibri"/>
          <w:sz w:val="24"/>
          <w:szCs w:val="24"/>
          <w:lang w:val="en-GB"/>
        </w:rPr>
        <w:t xml:space="preserve">diverging qualities of certain key indices and processes when </w:t>
      </w:r>
      <w:r w:rsidR="007A2A20" w:rsidRPr="00D961B9">
        <w:rPr>
          <w:rFonts w:ascii="Calibri" w:hAnsi="Calibri"/>
          <w:sz w:val="24"/>
          <w:szCs w:val="24"/>
          <w:lang w:val="en-GB"/>
        </w:rPr>
        <w:t>these measures</w:t>
      </w:r>
      <w:r w:rsidR="006C3273" w:rsidRPr="00D961B9">
        <w:rPr>
          <w:rFonts w:ascii="Calibri" w:hAnsi="Calibri"/>
          <w:sz w:val="24"/>
          <w:szCs w:val="24"/>
          <w:lang w:val="en-GB"/>
        </w:rPr>
        <w:t xml:space="preserve"> are decoupled from each other</w:t>
      </w:r>
      <w:r w:rsidR="000B6BE6" w:rsidRPr="00D961B9">
        <w:rPr>
          <w:rFonts w:ascii="Calibri" w:hAnsi="Calibri"/>
          <w:sz w:val="24"/>
          <w:szCs w:val="24"/>
          <w:lang w:val="en-GB"/>
        </w:rPr>
        <w:t xml:space="preserve">.  </w:t>
      </w:r>
      <w:r w:rsidRPr="00D961B9">
        <w:rPr>
          <w:rFonts w:ascii="Calibri" w:hAnsi="Calibri"/>
          <w:sz w:val="24"/>
          <w:szCs w:val="24"/>
          <w:lang w:val="en-GB"/>
        </w:rPr>
        <w:t xml:space="preserve">Instead, </w:t>
      </w:r>
      <w:r w:rsidR="00F4327F" w:rsidRPr="00D961B9">
        <w:rPr>
          <w:rFonts w:ascii="Calibri" w:hAnsi="Calibri"/>
          <w:sz w:val="24"/>
          <w:szCs w:val="24"/>
          <w:lang w:val="en-GB"/>
        </w:rPr>
        <w:t>both the</w:t>
      </w:r>
      <w:r w:rsidRPr="00D961B9">
        <w:rPr>
          <w:rFonts w:ascii="Calibri" w:hAnsi="Calibri"/>
          <w:sz w:val="24"/>
          <w:szCs w:val="24"/>
          <w:lang w:val="en-GB"/>
        </w:rPr>
        <w:t xml:space="preserve"> cumulative sum of net changes of </w:t>
      </w:r>
      <w:r w:rsidR="00F4327F" w:rsidRPr="00D961B9">
        <w:rPr>
          <w:rFonts w:ascii="Calibri" w:hAnsi="Calibri"/>
          <w:sz w:val="24"/>
          <w:szCs w:val="24"/>
          <w:lang w:val="en-GB"/>
        </w:rPr>
        <w:t>each</w:t>
      </w:r>
      <w:r w:rsidRPr="00D961B9">
        <w:rPr>
          <w:rFonts w:ascii="Calibri" w:hAnsi="Calibri"/>
          <w:sz w:val="24"/>
          <w:szCs w:val="24"/>
          <w:lang w:val="en-GB"/>
        </w:rPr>
        <w:t xml:space="preserve"> </w:t>
      </w:r>
      <w:r w:rsidR="00F05DC7" w:rsidRPr="00D961B9">
        <w:rPr>
          <w:rFonts w:ascii="Calibri" w:hAnsi="Calibri"/>
          <w:sz w:val="24"/>
          <w:szCs w:val="24"/>
          <w:lang w:val="en-GB"/>
        </w:rPr>
        <w:t xml:space="preserve">biodiversity </w:t>
      </w:r>
      <w:r w:rsidRPr="00D961B9">
        <w:rPr>
          <w:rFonts w:ascii="Calibri" w:hAnsi="Calibri"/>
          <w:sz w:val="24"/>
          <w:szCs w:val="24"/>
          <w:lang w:val="en-GB"/>
        </w:rPr>
        <w:t>attribute</w:t>
      </w:r>
      <w:r w:rsidR="00F4327F" w:rsidRPr="00D961B9">
        <w:rPr>
          <w:rFonts w:ascii="Calibri" w:hAnsi="Calibri"/>
          <w:sz w:val="24"/>
          <w:szCs w:val="24"/>
          <w:lang w:val="en-GB"/>
        </w:rPr>
        <w:t xml:space="preserve">, and as well as net changes for each </w:t>
      </w:r>
      <w:r w:rsidRPr="00D961B9">
        <w:rPr>
          <w:rFonts w:ascii="Calibri" w:hAnsi="Calibri"/>
          <w:sz w:val="24"/>
          <w:szCs w:val="24"/>
          <w:lang w:val="en-GB"/>
        </w:rPr>
        <w:t xml:space="preserve"> </w:t>
      </w:r>
      <w:r w:rsidR="00F4327F" w:rsidRPr="00D961B9">
        <w:rPr>
          <w:rFonts w:ascii="Calibri" w:hAnsi="Calibri"/>
          <w:sz w:val="24"/>
          <w:szCs w:val="24"/>
          <w:lang w:val="en-GB"/>
        </w:rPr>
        <w:t xml:space="preserve">biodiversity attribute, </w:t>
      </w:r>
      <w:r w:rsidR="00F05DC7" w:rsidRPr="00D961B9">
        <w:rPr>
          <w:rFonts w:ascii="Calibri" w:hAnsi="Calibri"/>
          <w:sz w:val="24"/>
          <w:szCs w:val="24"/>
          <w:lang w:val="en-GB"/>
        </w:rPr>
        <w:t>should clearly be shown in order to</w:t>
      </w:r>
      <w:r w:rsidRPr="00D961B9">
        <w:rPr>
          <w:rFonts w:ascii="Calibri" w:hAnsi="Calibri"/>
          <w:sz w:val="24"/>
          <w:szCs w:val="24"/>
          <w:lang w:val="en-GB"/>
        </w:rPr>
        <w:t xml:space="preserve"> indicate whether </w:t>
      </w:r>
      <w:r w:rsidR="00F05DC7" w:rsidRPr="00D961B9">
        <w:rPr>
          <w:rFonts w:ascii="Calibri" w:hAnsi="Calibri"/>
          <w:sz w:val="24"/>
          <w:szCs w:val="24"/>
          <w:lang w:val="en-GB"/>
        </w:rPr>
        <w:t xml:space="preserve">and where </w:t>
      </w:r>
      <w:r w:rsidRPr="00D961B9">
        <w:rPr>
          <w:rFonts w:ascii="Calibri" w:hAnsi="Calibri"/>
          <w:sz w:val="24"/>
          <w:szCs w:val="24"/>
          <w:lang w:val="en-GB"/>
        </w:rPr>
        <w:t>overall net-loss is achieved (Formula 2)</w:t>
      </w:r>
      <w:r w:rsidR="00F4327F" w:rsidRPr="00D961B9">
        <w:rPr>
          <w:rFonts w:ascii="Calibri" w:hAnsi="Calibri"/>
          <w:sz w:val="24"/>
          <w:szCs w:val="24"/>
          <w:lang w:val="en-GB"/>
        </w:rPr>
        <w:t>; that is</w:t>
      </w:r>
      <w:r w:rsidR="008F3779" w:rsidRPr="00D961B9">
        <w:rPr>
          <w:rFonts w:ascii="Calibri" w:hAnsi="Calibri"/>
          <w:sz w:val="24"/>
          <w:szCs w:val="24"/>
          <w:lang w:val="en-GB"/>
        </w:rPr>
        <w:t>,</w:t>
      </w:r>
      <w:r w:rsidR="00F4327F" w:rsidRPr="00D961B9">
        <w:rPr>
          <w:rFonts w:ascii="Calibri" w:hAnsi="Calibri"/>
          <w:sz w:val="24"/>
          <w:szCs w:val="24"/>
          <w:lang w:val="en-GB"/>
        </w:rPr>
        <w:t xml:space="preserve"> was </w:t>
      </w:r>
      <w:r w:rsidR="008F3779" w:rsidRPr="00D961B9">
        <w:rPr>
          <w:rFonts w:ascii="Calibri" w:hAnsi="Calibri"/>
          <w:sz w:val="24"/>
          <w:szCs w:val="24"/>
          <w:lang w:val="en-GB"/>
        </w:rPr>
        <w:t xml:space="preserve">the </w:t>
      </w:r>
      <w:r w:rsidR="00F4327F" w:rsidRPr="00D961B9">
        <w:rPr>
          <w:rFonts w:ascii="Calibri" w:hAnsi="Calibri"/>
          <w:sz w:val="24"/>
          <w:szCs w:val="24"/>
          <w:lang w:val="en-GB"/>
        </w:rPr>
        <w:t>non-net-loss principle achieved for plant diversity, bird diversity, endangered species</w:t>
      </w:r>
      <w:r w:rsidR="008F3779" w:rsidRPr="00D961B9">
        <w:rPr>
          <w:rFonts w:ascii="Calibri" w:hAnsi="Calibri"/>
          <w:sz w:val="24"/>
          <w:szCs w:val="24"/>
          <w:lang w:val="en-GB"/>
        </w:rPr>
        <w:t xml:space="preserve"> and so on</w:t>
      </w:r>
      <w:r w:rsidR="00F4327F" w:rsidRPr="00D961B9">
        <w:rPr>
          <w:rFonts w:ascii="Calibri" w:hAnsi="Calibri"/>
          <w:sz w:val="24"/>
          <w:szCs w:val="24"/>
          <w:lang w:val="en-GB"/>
        </w:rPr>
        <w:t>?</w:t>
      </w:r>
    </w:p>
    <w:p w14:paraId="7CD253C0" w14:textId="77777777" w:rsidR="00F4327F" w:rsidRPr="00D961B9" w:rsidRDefault="00F4327F" w:rsidP="000B6BE6">
      <w:pPr>
        <w:autoSpaceDE w:val="0"/>
        <w:autoSpaceDN w:val="0"/>
        <w:adjustRightInd w:val="0"/>
        <w:spacing w:after="0" w:line="288" w:lineRule="auto"/>
        <w:rPr>
          <w:rFonts w:ascii="Calibri" w:hAnsi="Calibri"/>
          <w:sz w:val="24"/>
          <w:szCs w:val="24"/>
          <w:lang w:val="en-GB"/>
        </w:rPr>
      </w:pPr>
    </w:p>
    <w:p w14:paraId="2BE3EEE7" w14:textId="7A7A5DCF" w:rsidR="000B6BE6" w:rsidRPr="00D961B9" w:rsidRDefault="008F3779" w:rsidP="000B6BE6">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Importantly,</w:t>
      </w:r>
      <w:r w:rsidR="00F4327F" w:rsidRPr="00D961B9">
        <w:rPr>
          <w:rFonts w:ascii="Calibri" w:hAnsi="Calibri"/>
          <w:sz w:val="24"/>
          <w:szCs w:val="24"/>
          <w:lang w:val="en-GB"/>
        </w:rPr>
        <w:t xml:space="preserve"> we do not recommend</w:t>
      </w:r>
      <w:r w:rsidR="009E17E4" w:rsidRPr="00D961B9">
        <w:rPr>
          <w:rFonts w:ascii="Calibri" w:hAnsi="Calibri"/>
          <w:sz w:val="24"/>
          <w:szCs w:val="24"/>
          <w:lang w:val="en-GB"/>
        </w:rPr>
        <w:t xml:space="preserve"> </w:t>
      </w:r>
      <w:r w:rsidR="000B6BE6" w:rsidRPr="00D961B9">
        <w:rPr>
          <w:rFonts w:ascii="Calibri" w:hAnsi="Calibri"/>
          <w:sz w:val="24"/>
          <w:szCs w:val="24"/>
          <w:lang w:val="en-GB"/>
        </w:rPr>
        <w:t xml:space="preserve">compressing biodiversity attributes into one dimension </w:t>
      </w:r>
      <w:r w:rsidR="00F4327F" w:rsidRPr="00D961B9">
        <w:rPr>
          <w:rFonts w:ascii="Calibri" w:hAnsi="Calibri"/>
          <w:sz w:val="24"/>
          <w:szCs w:val="24"/>
          <w:lang w:val="en-GB"/>
        </w:rPr>
        <w:t>because it also</w:t>
      </w:r>
      <w:r w:rsidR="000B6BE6" w:rsidRPr="00D961B9">
        <w:rPr>
          <w:rFonts w:ascii="Calibri" w:hAnsi="Calibri"/>
          <w:sz w:val="24"/>
          <w:szCs w:val="24"/>
          <w:lang w:val="en-GB"/>
        </w:rPr>
        <w:t xml:space="preserve"> </w:t>
      </w:r>
      <w:r w:rsidR="00462772" w:rsidRPr="00D961B9">
        <w:rPr>
          <w:rFonts w:ascii="Calibri" w:hAnsi="Calibri"/>
          <w:sz w:val="24"/>
          <w:szCs w:val="24"/>
          <w:lang w:val="en-GB"/>
        </w:rPr>
        <w:t>obscur</w:t>
      </w:r>
      <w:r w:rsidR="000B6BE6" w:rsidRPr="00D961B9">
        <w:rPr>
          <w:rFonts w:ascii="Calibri" w:hAnsi="Calibri"/>
          <w:sz w:val="24"/>
          <w:szCs w:val="24"/>
          <w:lang w:val="en-GB"/>
        </w:rPr>
        <w:t>e</w:t>
      </w:r>
      <w:r w:rsidR="00514B88" w:rsidRPr="00D961B9">
        <w:rPr>
          <w:rFonts w:ascii="Calibri" w:hAnsi="Calibri"/>
          <w:sz w:val="24"/>
          <w:szCs w:val="24"/>
          <w:lang w:val="en-GB"/>
        </w:rPr>
        <w:t>s</w:t>
      </w:r>
      <w:r w:rsidRPr="00D961B9">
        <w:rPr>
          <w:rFonts w:ascii="Calibri" w:hAnsi="Calibri"/>
          <w:sz w:val="24"/>
          <w:szCs w:val="24"/>
          <w:lang w:val="en-GB"/>
        </w:rPr>
        <w:t>,</w:t>
      </w:r>
      <w:r w:rsidR="00AF08EF" w:rsidRPr="00D961B9">
        <w:rPr>
          <w:rFonts w:ascii="Calibri" w:hAnsi="Calibri"/>
          <w:sz w:val="24"/>
          <w:szCs w:val="24"/>
          <w:lang w:val="en-GB"/>
        </w:rPr>
        <w:t xml:space="preserve"> and </w:t>
      </w:r>
      <w:r w:rsidR="00E509C4" w:rsidRPr="00D961B9">
        <w:rPr>
          <w:rFonts w:ascii="Calibri" w:hAnsi="Calibri"/>
          <w:sz w:val="24"/>
          <w:szCs w:val="24"/>
          <w:lang w:val="en-GB"/>
        </w:rPr>
        <w:t>inevitabl</w:t>
      </w:r>
      <w:r w:rsidRPr="00D961B9">
        <w:rPr>
          <w:rFonts w:ascii="Calibri" w:hAnsi="Calibri"/>
          <w:sz w:val="24"/>
          <w:szCs w:val="24"/>
          <w:lang w:val="en-GB"/>
        </w:rPr>
        <w:t>y</w:t>
      </w:r>
      <w:r w:rsidR="00E509C4" w:rsidRPr="00D961B9">
        <w:rPr>
          <w:rFonts w:ascii="Calibri" w:hAnsi="Calibri"/>
          <w:sz w:val="24"/>
          <w:szCs w:val="24"/>
          <w:lang w:val="en-GB"/>
        </w:rPr>
        <w:t xml:space="preserve"> will</w:t>
      </w:r>
      <w:r w:rsidR="000B6BE6" w:rsidRPr="00D961B9">
        <w:rPr>
          <w:rFonts w:ascii="Calibri" w:hAnsi="Calibri"/>
          <w:sz w:val="24"/>
          <w:szCs w:val="24"/>
          <w:lang w:val="en-GB"/>
        </w:rPr>
        <w:t xml:space="preserve"> lead</w:t>
      </w:r>
      <w:r w:rsidR="009E17E4" w:rsidRPr="00D961B9">
        <w:rPr>
          <w:rFonts w:ascii="Calibri" w:hAnsi="Calibri"/>
          <w:sz w:val="24"/>
          <w:szCs w:val="24"/>
          <w:lang w:val="en-GB"/>
        </w:rPr>
        <w:t xml:space="preserve"> to </w:t>
      </w:r>
      <w:r w:rsidRPr="00D961B9">
        <w:rPr>
          <w:rFonts w:ascii="Calibri" w:hAnsi="Calibri"/>
          <w:sz w:val="24"/>
          <w:szCs w:val="24"/>
          <w:lang w:val="en-GB"/>
        </w:rPr>
        <w:t xml:space="preserve"> very poorly or </w:t>
      </w:r>
      <w:r w:rsidR="009E17E4" w:rsidRPr="00D961B9">
        <w:rPr>
          <w:rFonts w:ascii="Calibri" w:hAnsi="Calibri"/>
          <w:sz w:val="24"/>
          <w:szCs w:val="24"/>
          <w:lang w:val="en-GB"/>
        </w:rPr>
        <w:t>un</w:t>
      </w:r>
      <w:r w:rsidRPr="00D961B9">
        <w:rPr>
          <w:rFonts w:ascii="Calibri" w:hAnsi="Calibri"/>
          <w:sz w:val="24"/>
          <w:szCs w:val="24"/>
          <w:lang w:val="en-GB"/>
        </w:rPr>
        <w:t>-</w:t>
      </w:r>
      <w:r w:rsidR="009E17E4" w:rsidRPr="00D961B9">
        <w:rPr>
          <w:rFonts w:ascii="Calibri" w:hAnsi="Calibri"/>
          <w:sz w:val="24"/>
          <w:szCs w:val="24"/>
          <w:lang w:val="en-GB"/>
        </w:rPr>
        <w:t>targeted approach</w:t>
      </w:r>
      <w:r w:rsidR="00AF08EF" w:rsidRPr="00D961B9">
        <w:rPr>
          <w:rFonts w:ascii="Calibri" w:hAnsi="Calibri"/>
          <w:sz w:val="24"/>
          <w:szCs w:val="24"/>
          <w:lang w:val="en-GB"/>
        </w:rPr>
        <w:t>es</w:t>
      </w:r>
      <w:r w:rsidR="009E17E4" w:rsidRPr="00D961B9">
        <w:rPr>
          <w:rFonts w:ascii="Calibri" w:hAnsi="Calibri"/>
          <w:sz w:val="24"/>
          <w:szCs w:val="24"/>
          <w:lang w:val="en-GB"/>
        </w:rPr>
        <w:t xml:space="preserve"> </w:t>
      </w:r>
      <w:r w:rsidRPr="00D961B9">
        <w:rPr>
          <w:rFonts w:ascii="Calibri" w:hAnsi="Calibri"/>
          <w:sz w:val="24"/>
          <w:szCs w:val="24"/>
          <w:lang w:val="en-GB"/>
        </w:rPr>
        <w:t>in</w:t>
      </w:r>
      <w:r w:rsidR="009E17E4" w:rsidRPr="00D961B9">
        <w:rPr>
          <w:rFonts w:ascii="Calibri" w:hAnsi="Calibri"/>
          <w:sz w:val="24"/>
          <w:szCs w:val="24"/>
          <w:lang w:val="en-GB"/>
        </w:rPr>
        <w:t xml:space="preserve"> the </w:t>
      </w:r>
      <w:r w:rsidRPr="00D961B9">
        <w:rPr>
          <w:rFonts w:ascii="Calibri" w:hAnsi="Calibri"/>
          <w:sz w:val="24"/>
          <w:szCs w:val="24"/>
          <w:lang w:val="en-GB"/>
        </w:rPr>
        <w:t xml:space="preserve">selection of the ideal or </w:t>
      </w:r>
      <w:r w:rsidR="009E17E4" w:rsidRPr="00D961B9">
        <w:rPr>
          <w:rFonts w:ascii="Calibri" w:hAnsi="Calibri"/>
          <w:sz w:val="24"/>
          <w:szCs w:val="24"/>
          <w:lang w:val="en-GB"/>
        </w:rPr>
        <w:t>best management option</w:t>
      </w:r>
      <w:r w:rsidR="000B6BE6" w:rsidRPr="00D961B9">
        <w:rPr>
          <w:rFonts w:ascii="Calibri" w:hAnsi="Calibri"/>
          <w:sz w:val="24"/>
          <w:szCs w:val="24"/>
          <w:lang w:val="en-GB"/>
        </w:rPr>
        <w:t>s</w:t>
      </w:r>
      <w:r w:rsidR="009E17E4" w:rsidRPr="00D961B9">
        <w:rPr>
          <w:rFonts w:ascii="Calibri" w:hAnsi="Calibri"/>
          <w:sz w:val="24"/>
          <w:szCs w:val="24"/>
          <w:lang w:val="en-GB"/>
        </w:rPr>
        <w:t xml:space="preserve"> </w:t>
      </w:r>
      <w:r w:rsidR="00AF08EF" w:rsidRPr="00D961B9">
        <w:rPr>
          <w:rFonts w:ascii="Calibri" w:hAnsi="Calibri"/>
          <w:sz w:val="24"/>
          <w:szCs w:val="24"/>
          <w:lang w:val="en-GB"/>
        </w:rPr>
        <w:t>to produc</w:t>
      </w:r>
      <w:r w:rsidRPr="00D961B9">
        <w:rPr>
          <w:rFonts w:ascii="Calibri" w:hAnsi="Calibri"/>
          <w:sz w:val="24"/>
          <w:szCs w:val="24"/>
          <w:lang w:val="en-GB"/>
        </w:rPr>
        <w:t>e</w:t>
      </w:r>
      <w:r w:rsidR="00E509C4" w:rsidRPr="00D961B9">
        <w:rPr>
          <w:rFonts w:ascii="Calibri" w:hAnsi="Calibri"/>
          <w:sz w:val="24"/>
          <w:szCs w:val="24"/>
          <w:lang w:val="en-GB"/>
        </w:rPr>
        <w:t xml:space="preserve"> </w:t>
      </w:r>
      <w:r w:rsidR="00AF08EF" w:rsidRPr="00D961B9">
        <w:rPr>
          <w:rFonts w:ascii="Calibri" w:hAnsi="Calibri"/>
          <w:sz w:val="24"/>
          <w:szCs w:val="24"/>
          <w:lang w:val="en-GB"/>
        </w:rPr>
        <w:t>gains for</w:t>
      </w:r>
      <w:r w:rsidR="00462772" w:rsidRPr="00D961B9">
        <w:rPr>
          <w:rFonts w:ascii="Calibri" w:hAnsi="Calibri"/>
          <w:sz w:val="24"/>
          <w:szCs w:val="24"/>
          <w:lang w:val="en-GB"/>
        </w:rPr>
        <w:t xml:space="preserve"> each of the</w:t>
      </w:r>
      <w:r w:rsidR="000B6BE6" w:rsidRPr="00D961B9">
        <w:rPr>
          <w:rFonts w:ascii="Calibri" w:hAnsi="Calibri"/>
          <w:sz w:val="24"/>
          <w:szCs w:val="24"/>
          <w:lang w:val="en-GB"/>
        </w:rPr>
        <w:t xml:space="preserve"> biodiversity attributes, via compensatory offsets measures</w:t>
      </w:r>
      <w:r w:rsidR="00E509C4" w:rsidRPr="00D961B9">
        <w:rPr>
          <w:rFonts w:ascii="Calibri" w:hAnsi="Calibri"/>
          <w:sz w:val="24"/>
          <w:szCs w:val="24"/>
          <w:lang w:val="en-GB"/>
        </w:rPr>
        <w:t xml:space="preserve">, which we will explore </w:t>
      </w:r>
      <w:r w:rsidR="00866460" w:rsidRPr="00D961B9">
        <w:rPr>
          <w:rFonts w:ascii="Calibri" w:hAnsi="Calibri"/>
          <w:sz w:val="24"/>
          <w:szCs w:val="24"/>
          <w:lang w:val="en-GB"/>
        </w:rPr>
        <w:t>later when discussing parameters of effectiveness and permanence</w:t>
      </w:r>
      <w:r w:rsidR="007A2A20" w:rsidRPr="00D961B9">
        <w:rPr>
          <w:rFonts w:ascii="Calibri" w:hAnsi="Calibri"/>
          <w:sz w:val="24"/>
          <w:szCs w:val="24"/>
          <w:lang w:val="en-GB"/>
        </w:rPr>
        <w:t xml:space="preserve"> (section 3.1)</w:t>
      </w:r>
      <w:r w:rsidR="000B6BE6" w:rsidRPr="00D961B9">
        <w:rPr>
          <w:rFonts w:ascii="Calibri" w:hAnsi="Calibri"/>
          <w:sz w:val="24"/>
          <w:szCs w:val="24"/>
          <w:lang w:val="en-GB"/>
        </w:rPr>
        <w:t xml:space="preserve">. </w:t>
      </w:r>
    </w:p>
    <w:p w14:paraId="6250DB06" w14:textId="77777777" w:rsidR="00015347" w:rsidRPr="00D961B9" w:rsidRDefault="00015347" w:rsidP="0062341D">
      <w:pPr>
        <w:autoSpaceDE w:val="0"/>
        <w:autoSpaceDN w:val="0"/>
        <w:adjustRightInd w:val="0"/>
        <w:spacing w:after="0" w:line="288" w:lineRule="auto"/>
        <w:rPr>
          <w:rFonts w:ascii="Calibri" w:hAnsi="Calibri"/>
          <w:sz w:val="24"/>
          <w:szCs w:val="24"/>
          <w:lang w:val="en-GB"/>
        </w:rPr>
      </w:pPr>
    </w:p>
    <w:p w14:paraId="52EF5D7B" w14:textId="436DBF1E" w:rsidR="00092D05" w:rsidRPr="00D961B9" w:rsidRDefault="00C82614" w:rsidP="00D961B9">
      <w:pPr>
        <w:pStyle w:val="Heading2"/>
        <w:numPr>
          <w:ilvl w:val="1"/>
          <w:numId w:val="37"/>
        </w:numPr>
        <w:rPr>
          <w:sz w:val="24"/>
          <w:szCs w:val="24"/>
        </w:rPr>
      </w:pPr>
      <w:r w:rsidRPr="00D961B9">
        <w:rPr>
          <w:rFonts w:eastAsiaTheme="minorHAnsi"/>
          <w:sz w:val="24"/>
          <w:szCs w:val="24"/>
        </w:rPr>
        <w:t>Measuring c</w:t>
      </w:r>
      <w:r w:rsidR="00576D03" w:rsidRPr="00D961B9">
        <w:rPr>
          <w:rFonts w:eastAsiaTheme="minorHAnsi"/>
          <w:sz w:val="24"/>
          <w:szCs w:val="24"/>
        </w:rPr>
        <w:t>onservation</w:t>
      </w:r>
      <w:r w:rsidR="004E7EE1" w:rsidRPr="00D961B9">
        <w:rPr>
          <w:rFonts w:eastAsiaTheme="minorHAnsi"/>
          <w:sz w:val="24"/>
          <w:szCs w:val="24"/>
        </w:rPr>
        <w:t xml:space="preserve"> significance: </w:t>
      </w:r>
      <w:r w:rsidR="007C3AFE" w:rsidRPr="00D961B9">
        <w:rPr>
          <w:rFonts w:eastAsiaTheme="minorHAnsi"/>
          <w:sz w:val="24"/>
          <w:szCs w:val="24"/>
        </w:rPr>
        <w:t>I</w:t>
      </w:r>
      <w:r w:rsidR="007437A0" w:rsidRPr="00D961B9">
        <w:rPr>
          <w:rFonts w:eastAsiaTheme="minorHAnsi"/>
          <w:sz w:val="24"/>
          <w:szCs w:val="24"/>
        </w:rPr>
        <w:t xml:space="preserve">rreplaceability and </w:t>
      </w:r>
      <w:r w:rsidR="004E7EE1" w:rsidRPr="00D961B9">
        <w:rPr>
          <w:rFonts w:eastAsiaTheme="minorHAnsi"/>
          <w:sz w:val="24"/>
          <w:szCs w:val="24"/>
        </w:rPr>
        <w:t>vulnerability</w:t>
      </w:r>
      <w:r w:rsidR="007437A0" w:rsidRPr="00D961B9">
        <w:rPr>
          <w:sz w:val="24"/>
          <w:szCs w:val="24"/>
        </w:rPr>
        <w:t xml:space="preserve"> </w:t>
      </w:r>
    </w:p>
    <w:p w14:paraId="43E20B87" w14:textId="33C014B0" w:rsidR="00092D05" w:rsidRPr="00D961B9" w:rsidRDefault="000B6BE6" w:rsidP="00CA4A93">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Critically, the habitat hectare</w:t>
      </w:r>
      <w:r w:rsidR="00CA4A93" w:rsidRPr="00D961B9">
        <w:rPr>
          <w:rFonts w:ascii="Calibri" w:hAnsi="Calibri"/>
          <w:sz w:val="24"/>
          <w:szCs w:val="24"/>
          <w:lang w:val="en-GB"/>
        </w:rPr>
        <w:t xml:space="preserve"> method </w:t>
      </w:r>
      <w:r w:rsidR="008F3779" w:rsidRPr="00D961B9">
        <w:rPr>
          <w:rFonts w:ascii="Calibri" w:hAnsi="Calibri"/>
          <w:sz w:val="24"/>
          <w:szCs w:val="24"/>
          <w:lang w:val="en-GB"/>
        </w:rPr>
        <w:t>is not directed towards</w:t>
      </w:r>
      <w:r w:rsidR="00CA4A93" w:rsidRPr="00D961B9">
        <w:rPr>
          <w:rFonts w:ascii="Calibri" w:hAnsi="Calibri"/>
          <w:sz w:val="24"/>
          <w:szCs w:val="24"/>
          <w:lang w:val="en-GB"/>
        </w:rPr>
        <w:t xml:space="preserve"> evaluat</w:t>
      </w:r>
      <w:r w:rsidR="008F3779" w:rsidRPr="00D961B9">
        <w:rPr>
          <w:rFonts w:ascii="Calibri" w:hAnsi="Calibri"/>
          <w:sz w:val="24"/>
          <w:szCs w:val="24"/>
          <w:lang w:val="en-GB"/>
        </w:rPr>
        <w:t>ion of</w:t>
      </w:r>
      <w:r w:rsidR="00CA4A93" w:rsidRPr="00D961B9">
        <w:rPr>
          <w:rFonts w:ascii="Calibri" w:hAnsi="Calibri"/>
          <w:sz w:val="24"/>
          <w:szCs w:val="24"/>
          <w:lang w:val="en-GB"/>
        </w:rPr>
        <w:t xml:space="preserve"> the conservation significance of a site, such as the importance of the site with regard to the presence of rare or threatened species or vegetation communities. </w:t>
      </w:r>
      <w:r w:rsidR="00866460" w:rsidRPr="00D961B9">
        <w:rPr>
          <w:rFonts w:ascii="Calibri" w:hAnsi="Calibri"/>
          <w:sz w:val="24"/>
          <w:szCs w:val="24"/>
          <w:lang w:val="en-GB"/>
        </w:rPr>
        <w:t>T</w:t>
      </w:r>
      <w:r w:rsidR="00CA4A93" w:rsidRPr="00D961B9">
        <w:rPr>
          <w:rFonts w:ascii="Calibri" w:hAnsi="Calibri"/>
          <w:sz w:val="24"/>
          <w:szCs w:val="24"/>
          <w:lang w:val="en-GB"/>
        </w:rPr>
        <w:t xml:space="preserve">he </w:t>
      </w:r>
      <w:r w:rsidR="00B40F03" w:rsidRPr="00D961B9">
        <w:rPr>
          <w:rFonts w:ascii="Calibri" w:hAnsi="Calibri"/>
          <w:sz w:val="24"/>
          <w:szCs w:val="24"/>
          <w:lang w:val="en-GB"/>
        </w:rPr>
        <w:t>habitat</w:t>
      </w:r>
      <w:r w:rsidR="008F3779" w:rsidRPr="00D961B9">
        <w:rPr>
          <w:rFonts w:ascii="Calibri" w:hAnsi="Calibri"/>
          <w:sz w:val="24"/>
          <w:szCs w:val="24"/>
          <w:lang w:val="en-GB"/>
        </w:rPr>
        <w:t xml:space="preserve"> </w:t>
      </w:r>
      <w:r w:rsidR="00B40F03" w:rsidRPr="00D961B9">
        <w:rPr>
          <w:rFonts w:ascii="Calibri" w:hAnsi="Calibri"/>
          <w:sz w:val="24"/>
          <w:szCs w:val="24"/>
          <w:lang w:val="en-GB"/>
        </w:rPr>
        <w:t xml:space="preserve">hectare approach </w:t>
      </w:r>
      <w:r w:rsidR="00CA4A93" w:rsidRPr="00D961B9">
        <w:rPr>
          <w:rFonts w:ascii="Calibri" w:hAnsi="Calibri"/>
          <w:sz w:val="24"/>
          <w:szCs w:val="24"/>
          <w:lang w:val="en-GB"/>
        </w:rPr>
        <w:t>described above is</w:t>
      </w:r>
      <w:r w:rsidR="00866460" w:rsidRPr="00D961B9">
        <w:rPr>
          <w:rFonts w:ascii="Calibri" w:hAnsi="Calibri"/>
          <w:sz w:val="24"/>
          <w:szCs w:val="24"/>
          <w:lang w:val="en-GB"/>
        </w:rPr>
        <w:t xml:space="preserve"> therefore</w:t>
      </w:r>
      <w:r w:rsidR="00CA4A93" w:rsidRPr="00D961B9">
        <w:rPr>
          <w:rFonts w:ascii="Calibri" w:hAnsi="Calibri"/>
          <w:sz w:val="24"/>
          <w:szCs w:val="24"/>
          <w:lang w:val="en-GB"/>
        </w:rPr>
        <w:t xml:space="preserve"> one approach</w:t>
      </w:r>
      <w:r w:rsidR="00866460" w:rsidRPr="00D961B9">
        <w:rPr>
          <w:rFonts w:ascii="Calibri" w:hAnsi="Calibri"/>
          <w:sz w:val="24"/>
          <w:szCs w:val="24"/>
          <w:lang w:val="en-GB"/>
        </w:rPr>
        <w:t xml:space="preserve"> to evaluate the biodiversity of an impacted site</w:t>
      </w:r>
      <w:r w:rsidR="00CA4A93" w:rsidRPr="00D961B9">
        <w:rPr>
          <w:rFonts w:ascii="Calibri" w:hAnsi="Calibri"/>
          <w:sz w:val="24"/>
          <w:szCs w:val="24"/>
          <w:lang w:val="en-GB"/>
        </w:rPr>
        <w:t xml:space="preserve">. In Australia, the habitat hectare method </w:t>
      </w:r>
      <w:r w:rsidR="00866460" w:rsidRPr="00D961B9">
        <w:rPr>
          <w:rFonts w:ascii="Calibri" w:hAnsi="Calibri"/>
          <w:sz w:val="24"/>
          <w:szCs w:val="24"/>
          <w:lang w:val="en-GB"/>
        </w:rPr>
        <w:t>has been</w:t>
      </w:r>
      <w:r w:rsidR="00CA4A93" w:rsidRPr="00D961B9">
        <w:rPr>
          <w:rFonts w:ascii="Calibri" w:hAnsi="Calibri"/>
          <w:sz w:val="24"/>
          <w:szCs w:val="24"/>
          <w:lang w:val="en-GB"/>
        </w:rPr>
        <w:t xml:space="preserve"> recognised as flawed because it does not take into account conservation significance and </w:t>
      </w:r>
      <w:r w:rsidR="00374FD3" w:rsidRPr="00D961B9">
        <w:rPr>
          <w:rFonts w:ascii="Calibri" w:hAnsi="Calibri"/>
          <w:sz w:val="24"/>
          <w:szCs w:val="24"/>
          <w:lang w:val="en-GB"/>
        </w:rPr>
        <w:t>there have been attempts to address this through other decision-making aids. For example, “irreplaceability and vulnerability” filters are now applied to land clearing applications in Victoria such that clearing (and hence offsetting) cannot occur in areas containing rare ecological communities that have already been highly cleared (&gt;70%) relative to their estimated pre-European distribution i.e. due to their high conservation value (Gibbons et al.</w:t>
      </w:r>
      <w:r w:rsidR="00AB255F" w:rsidRPr="00D961B9">
        <w:rPr>
          <w:rFonts w:ascii="Calibri" w:hAnsi="Calibri"/>
          <w:sz w:val="24"/>
          <w:szCs w:val="24"/>
          <w:lang w:val="en-GB"/>
        </w:rPr>
        <w:t>,</w:t>
      </w:r>
      <w:r w:rsidR="00374FD3" w:rsidRPr="00D961B9">
        <w:rPr>
          <w:rFonts w:ascii="Calibri" w:hAnsi="Calibri"/>
          <w:sz w:val="24"/>
          <w:szCs w:val="24"/>
          <w:lang w:val="en-GB"/>
        </w:rPr>
        <w:t xml:space="preserve"> 2009). Nonetheless, this method does not account for determining the significance of threatened or micro endemic species in ecological communities that are above the 70% threshold. </w:t>
      </w:r>
    </w:p>
    <w:p w14:paraId="51E11DB2" w14:textId="77777777" w:rsidR="00CA4A93" w:rsidRPr="00D961B9" w:rsidRDefault="00CA4A93" w:rsidP="00CA4A93">
      <w:pPr>
        <w:autoSpaceDE w:val="0"/>
        <w:autoSpaceDN w:val="0"/>
        <w:adjustRightInd w:val="0"/>
        <w:spacing w:after="0" w:line="288" w:lineRule="auto"/>
        <w:rPr>
          <w:sz w:val="24"/>
          <w:szCs w:val="24"/>
          <w:lang w:val="en-GB"/>
        </w:rPr>
      </w:pPr>
    </w:p>
    <w:p w14:paraId="443D25D5" w14:textId="0E91F107" w:rsidR="00374FD3" w:rsidRPr="00D961B9" w:rsidRDefault="00374FD3" w:rsidP="00374FD3">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Rio Tinto-QMM has approached the question of conservation significance by developing a novel metric – </w:t>
      </w:r>
      <w:r w:rsidR="00EF4605" w:rsidRPr="00D961B9">
        <w:rPr>
          <w:rFonts w:ascii="Calibri" w:hAnsi="Calibri"/>
          <w:i/>
          <w:sz w:val="24"/>
          <w:szCs w:val="24"/>
          <w:lang w:val="en-GB"/>
        </w:rPr>
        <w:t>u</w:t>
      </w:r>
      <w:r w:rsidRPr="00D961B9">
        <w:rPr>
          <w:rFonts w:ascii="Calibri" w:hAnsi="Calibri"/>
          <w:i/>
          <w:sz w:val="24"/>
          <w:szCs w:val="24"/>
          <w:lang w:val="en-GB"/>
        </w:rPr>
        <w:t xml:space="preserve">nits of </w:t>
      </w:r>
      <w:r w:rsidR="00EF4605" w:rsidRPr="00D961B9">
        <w:rPr>
          <w:rFonts w:ascii="Calibri" w:hAnsi="Calibri"/>
          <w:i/>
          <w:sz w:val="24"/>
          <w:szCs w:val="24"/>
          <w:lang w:val="en-GB"/>
        </w:rPr>
        <w:t>g</w:t>
      </w:r>
      <w:r w:rsidRPr="00D961B9">
        <w:rPr>
          <w:rFonts w:ascii="Calibri" w:hAnsi="Calibri"/>
          <w:i/>
          <w:sz w:val="24"/>
          <w:szCs w:val="24"/>
          <w:lang w:val="en-GB"/>
        </w:rPr>
        <w:t xml:space="preserve">lobal </w:t>
      </w:r>
      <w:r w:rsidR="00EF4605" w:rsidRPr="00D961B9">
        <w:rPr>
          <w:rFonts w:ascii="Calibri" w:hAnsi="Calibri"/>
          <w:i/>
          <w:sz w:val="24"/>
          <w:szCs w:val="24"/>
          <w:lang w:val="en-GB"/>
        </w:rPr>
        <w:t>d</w:t>
      </w:r>
      <w:r w:rsidRPr="00D961B9">
        <w:rPr>
          <w:rFonts w:ascii="Calibri" w:hAnsi="Calibri"/>
          <w:i/>
          <w:sz w:val="24"/>
          <w:szCs w:val="24"/>
          <w:lang w:val="en-GB"/>
        </w:rPr>
        <w:t>istribution</w:t>
      </w:r>
      <w:r w:rsidRPr="00D961B9">
        <w:rPr>
          <w:rFonts w:ascii="Calibri" w:hAnsi="Calibri"/>
          <w:sz w:val="24"/>
          <w:szCs w:val="24"/>
          <w:lang w:val="en-GB"/>
        </w:rPr>
        <w:t xml:space="preserve"> (UD) for high priority species, which are either local endemics or have a conservation status in the IUCN categories of endangered or critically endangered (Temple et al.</w:t>
      </w:r>
      <w:r w:rsidR="00F05DC7" w:rsidRPr="00D961B9">
        <w:rPr>
          <w:rFonts w:ascii="Calibri" w:hAnsi="Calibri"/>
          <w:sz w:val="24"/>
          <w:szCs w:val="24"/>
          <w:lang w:val="en-GB"/>
        </w:rPr>
        <w:t>,</w:t>
      </w:r>
      <w:r w:rsidRPr="00D961B9">
        <w:rPr>
          <w:rFonts w:ascii="Calibri" w:hAnsi="Calibri"/>
          <w:sz w:val="24"/>
          <w:szCs w:val="24"/>
          <w:lang w:val="en-GB"/>
        </w:rPr>
        <w:t xml:space="preserve"> 2012). A </w:t>
      </w:r>
      <w:r w:rsidR="00EF4605" w:rsidRPr="00D961B9">
        <w:rPr>
          <w:rFonts w:ascii="Calibri" w:hAnsi="Calibri"/>
          <w:sz w:val="24"/>
          <w:szCs w:val="24"/>
          <w:lang w:val="en-GB"/>
        </w:rPr>
        <w:t>u</w:t>
      </w:r>
      <w:r w:rsidRPr="00D961B9">
        <w:rPr>
          <w:rFonts w:ascii="Calibri" w:hAnsi="Calibri"/>
          <w:sz w:val="24"/>
          <w:szCs w:val="24"/>
          <w:lang w:val="en-GB"/>
        </w:rPr>
        <w:t xml:space="preserve">nit of </w:t>
      </w:r>
      <w:r w:rsidR="00EF4605" w:rsidRPr="00D961B9">
        <w:rPr>
          <w:rFonts w:ascii="Calibri" w:hAnsi="Calibri"/>
          <w:sz w:val="24"/>
          <w:szCs w:val="24"/>
          <w:lang w:val="en-GB"/>
        </w:rPr>
        <w:t>g</w:t>
      </w:r>
      <w:r w:rsidRPr="00D961B9">
        <w:rPr>
          <w:rFonts w:ascii="Calibri" w:hAnsi="Calibri"/>
          <w:sz w:val="24"/>
          <w:szCs w:val="24"/>
          <w:lang w:val="en-GB"/>
        </w:rPr>
        <w:t xml:space="preserve">lobal </w:t>
      </w:r>
      <w:r w:rsidR="00EF4605" w:rsidRPr="00D961B9">
        <w:rPr>
          <w:rFonts w:ascii="Calibri" w:hAnsi="Calibri"/>
          <w:sz w:val="24"/>
          <w:szCs w:val="24"/>
          <w:lang w:val="en-GB"/>
        </w:rPr>
        <w:t>d</w:t>
      </w:r>
      <w:r w:rsidRPr="00D961B9">
        <w:rPr>
          <w:rFonts w:ascii="Calibri" w:hAnsi="Calibri"/>
          <w:sz w:val="24"/>
          <w:szCs w:val="24"/>
          <w:lang w:val="en-GB"/>
        </w:rPr>
        <w:t xml:space="preserve">istribution is described as equivalent to 1% of the total global population of a species (or 1% of its global distribution, in the event that population data are unavailable). Units of </w:t>
      </w:r>
      <w:r w:rsidR="00EF4605" w:rsidRPr="00D961B9">
        <w:rPr>
          <w:rFonts w:ascii="Calibri" w:hAnsi="Calibri"/>
          <w:sz w:val="24"/>
          <w:szCs w:val="24"/>
          <w:lang w:val="en-GB"/>
        </w:rPr>
        <w:t>g</w:t>
      </w:r>
      <w:r w:rsidRPr="00D961B9">
        <w:rPr>
          <w:rFonts w:ascii="Calibri" w:hAnsi="Calibri"/>
          <w:sz w:val="24"/>
          <w:szCs w:val="24"/>
          <w:lang w:val="en-GB"/>
        </w:rPr>
        <w:t xml:space="preserve">lobal </w:t>
      </w:r>
      <w:r w:rsidR="00EF4605" w:rsidRPr="00D961B9">
        <w:rPr>
          <w:rFonts w:ascii="Calibri" w:hAnsi="Calibri"/>
          <w:sz w:val="24"/>
          <w:szCs w:val="24"/>
          <w:lang w:val="en-GB"/>
        </w:rPr>
        <w:t>d</w:t>
      </w:r>
      <w:r w:rsidRPr="00D961B9">
        <w:rPr>
          <w:rFonts w:ascii="Calibri" w:hAnsi="Calibri"/>
          <w:sz w:val="24"/>
          <w:szCs w:val="24"/>
          <w:lang w:val="en-GB"/>
        </w:rPr>
        <w:t xml:space="preserve">istribution are calculated as follows: if a species has a global population of 1,000 individuals, and 10 of those are destroyed, this would represent a loss of 1% of the global population of that species or 1 UD. Similarly, the destruction of 10 ha of a global habitat of a species of 1,000 ha would represent a loss of 1 </w:t>
      </w:r>
      <w:r w:rsidRPr="00D961B9">
        <w:rPr>
          <w:rFonts w:ascii="Calibri" w:hAnsi="Calibri"/>
          <w:sz w:val="24"/>
          <w:szCs w:val="24"/>
          <w:lang w:val="en-GB"/>
        </w:rPr>
        <w:lastRenderedPageBreak/>
        <w:t>UD (Temple et al.</w:t>
      </w:r>
      <w:r w:rsidR="00436CB2" w:rsidRPr="00D961B9">
        <w:rPr>
          <w:rFonts w:ascii="Calibri" w:hAnsi="Calibri"/>
          <w:sz w:val="24"/>
          <w:szCs w:val="24"/>
          <w:lang w:val="en-GB"/>
        </w:rPr>
        <w:t>,</w:t>
      </w:r>
      <w:r w:rsidRPr="00D961B9">
        <w:rPr>
          <w:rFonts w:ascii="Calibri" w:hAnsi="Calibri"/>
          <w:sz w:val="24"/>
          <w:szCs w:val="24"/>
          <w:lang w:val="en-GB"/>
        </w:rPr>
        <w:t xml:space="preserve"> 2012, p29). This metric is relatively time-intensive to establish but it has allowed for </w:t>
      </w:r>
      <w:r w:rsidR="00EF4605" w:rsidRPr="00D961B9">
        <w:rPr>
          <w:rFonts w:ascii="Calibri" w:hAnsi="Calibri"/>
          <w:sz w:val="24"/>
          <w:szCs w:val="24"/>
          <w:lang w:val="en-GB"/>
        </w:rPr>
        <w:t>a better</w:t>
      </w:r>
      <w:r w:rsidRPr="00D961B9">
        <w:rPr>
          <w:rFonts w:ascii="Calibri" w:hAnsi="Calibri"/>
          <w:sz w:val="24"/>
          <w:szCs w:val="24"/>
          <w:lang w:val="en-GB"/>
        </w:rPr>
        <w:t xml:space="preserve"> understanding of biodiversity impacts linked to the risk of extinction of specific species than </w:t>
      </w:r>
      <w:r w:rsidR="00EF4605" w:rsidRPr="00D961B9">
        <w:rPr>
          <w:rFonts w:ascii="Calibri" w:hAnsi="Calibri"/>
          <w:sz w:val="24"/>
          <w:szCs w:val="24"/>
          <w:lang w:val="en-GB"/>
        </w:rPr>
        <w:t>can</w:t>
      </w:r>
      <w:r w:rsidRPr="00D961B9">
        <w:rPr>
          <w:rFonts w:ascii="Calibri" w:hAnsi="Calibri"/>
          <w:sz w:val="24"/>
          <w:szCs w:val="24"/>
          <w:lang w:val="en-GB"/>
        </w:rPr>
        <w:t xml:space="preserve">be expressed by habitat </w:t>
      </w:r>
      <w:r w:rsidR="00F4327F" w:rsidRPr="00D961B9">
        <w:rPr>
          <w:rFonts w:ascii="Calibri" w:hAnsi="Calibri"/>
          <w:sz w:val="24"/>
          <w:szCs w:val="24"/>
          <w:lang w:val="en-GB"/>
        </w:rPr>
        <w:t xml:space="preserve">hectares (Temple et al. 2012), </w:t>
      </w:r>
      <w:r w:rsidR="00EF4605" w:rsidRPr="00D961B9">
        <w:rPr>
          <w:rFonts w:ascii="Calibri" w:hAnsi="Calibri"/>
          <w:sz w:val="24"/>
          <w:szCs w:val="24"/>
          <w:lang w:val="en-GB"/>
        </w:rPr>
        <w:t>al</w:t>
      </w:r>
      <w:r w:rsidR="00F4327F" w:rsidRPr="00D961B9">
        <w:rPr>
          <w:rFonts w:ascii="Calibri" w:hAnsi="Calibri"/>
          <w:sz w:val="24"/>
          <w:szCs w:val="24"/>
          <w:lang w:val="en-GB"/>
        </w:rPr>
        <w:t xml:space="preserve">though it assumes that conservation practices will be 100% effective (see later). </w:t>
      </w:r>
    </w:p>
    <w:p w14:paraId="78E132FE" w14:textId="77777777" w:rsidR="00F4327F" w:rsidRPr="00D961B9" w:rsidRDefault="00F4327F" w:rsidP="00374FD3">
      <w:pPr>
        <w:autoSpaceDE w:val="0"/>
        <w:autoSpaceDN w:val="0"/>
        <w:adjustRightInd w:val="0"/>
        <w:spacing w:after="0" w:line="288" w:lineRule="auto"/>
        <w:rPr>
          <w:rFonts w:ascii="Calibri" w:hAnsi="Calibri"/>
          <w:sz w:val="24"/>
          <w:szCs w:val="24"/>
          <w:lang w:val="en-GB"/>
        </w:rPr>
      </w:pPr>
    </w:p>
    <w:p w14:paraId="726E3993" w14:textId="5E60F23E" w:rsidR="00514B88" w:rsidRPr="00D961B9" w:rsidRDefault="00374FD3" w:rsidP="00514B88">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A different but less time-intensive way to evaluate irreplaceability and vulnerability of species impacted is to use a </w:t>
      </w:r>
      <w:r w:rsidR="00EF4605" w:rsidRPr="00D961B9">
        <w:rPr>
          <w:rFonts w:ascii="Calibri" w:hAnsi="Calibri"/>
          <w:i/>
          <w:sz w:val="24"/>
          <w:szCs w:val="24"/>
          <w:lang w:val="en-GB"/>
        </w:rPr>
        <w:t>c</w:t>
      </w:r>
      <w:r w:rsidRPr="00D961B9">
        <w:rPr>
          <w:rFonts w:ascii="Calibri" w:hAnsi="Calibri"/>
          <w:i/>
          <w:sz w:val="24"/>
          <w:szCs w:val="24"/>
          <w:lang w:val="en-GB"/>
        </w:rPr>
        <w:t xml:space="preserve">onservation </w:t>
      </w:r>
      <w:r w:rsidR="00EF4605" w:rsidRPr="00D961B9">
        <w:rPr>
          <w:rFonts w:ascii="Calibri" w:hAnsi="Calibri"/>
          <w:i/>
          <w:sz w:val="24"/>
          <w:szCs w:val="24"/>
          <w:lang w:val="en-GB"/>
        </w:rPr>
        <w:t>s</w:t>
      </w:r>
      <w:r w:rsidRPr="00D961B9">
        <w:rPr>
          <w:rFonts w:ascii="Calibri" w:hAnsi="Calibri"/>
          <w:i/>
          <w:sz w:val="24"/>
          <w:szCs w:val="24"/>
          <w:lang w:val="en-GB"/>
        </w:rPr>
        <w:t xml:space="preserve">ignificance </w:t>
      </w:r>
      <w:r w:rsidR="00EF4605" w:rsidRPr="00D961B9">
        <w:rPr>
          <w:rFonts w:ascii="Calibri" w:hAnsi="Calibri"/>
          <w:i/>
          <w:sz w:val="24"/>
          <w:szCs w:val="24"/>
          <w:lang w:val="en-GB"/>
        </w:rPr>
        <w:t>i</w:t>
      </w:r>
      <w:r w:rsidRPr="00D961B9">
        <w:rPr>
          <w:rFonts w:ascii="Calibri" w:hAnsi="Calibri"/>
          <w:i/>
          <w:sz w:val="24"/>
          <w:szCs w:val="24"/>
          <w:lang w:val="en-GB"/>
        </w:rPr>
        <w:t>ndex</w:t>
      </w:r>
      <w:r w:rsidRPr="00D961B9">
        <w:rPr>
          <w:rFonts w:ascii="Calibri" w:hAnsi="Calibri"/>
          <w:sz w:val="24"/>
          <w:szCs w:val="24"/>
          <w:lang w:val="en-GB"/>
        </w:rPr>
        <w:t xml:space="preserve">.  </w:t>
      </w:r>
      <w:r w:rsidR="00EF4605" w:rsidRPr="00D961B9">
        <w:rPr>
          <w:rFonts w:ascii="Calibri" w:hAnsi="Calibri"/>
          <w:sz w:val="24"/>
          <w:szCs w:val="24"/>
          <w:lang w:val="en-GB"/>
        </w:rPr>
        <w:t>This index</w:t>
      </w:r>
      <w:r w:rsidRPr="00D961B9">
        <w:rPr>
          <w:rFonts w:ascii="Calibri" w:hAnsi="Calibri"/>
          <w:sz w:val="24"/>
          <w:szCs w:val="24"/>
          <w:lang w:val="en-GB"/>
        </w:rPr>
        <w:t xml:space="preserve"> is measured by determining the number of locally endemic or threatened species relative to the area of remaining habitat (of the species) as a percentage, multiplied by the impacted area or offset area</w:t>
      </w:r>
      <w:r w:rsidR="00D07A66" w:rsidRPr="00D961B9">
        <w:rPr>
          <w:rFonts w:ascii="Calibri" w:hAnsi="Calibri"/>
          <w:sz w:val="24"/>
          <w:szCs w:val="24"/>
          <w:lang w:val="en-GB"/>
        </w:rPr>
        <w:t xml:space="preserve"> (and applied to formula</w:t>
      </w:r>
      <w:r w:rsidR="000C7838" w:rsidRPr="00D961B9">
        <w:rPr>
          <w:rFonts w:ascii="Calibri" w:hAnsi="Calibri"/>
          <w:sz w:val="24"/>
          <w:szCs w:val="24"/>
          <w:lang w:val="en-GB"/>
        </w:rPr>
        <w:t xml:space="preserve"> 2 (see later)</w:t>
      </w:r>
      <w:r w:rsidR="00D07A66" w:rsidRPr="00D961B9">
        <w:rPr>
          <w:rFonts w:ascii="Calibri" w:hAnsi="Calibri"/>
          <w:sz w:val="24"/>
          <w:szCs w:val="24"/>
          <w:lang w:val="en-GB"/>
        </w:rPr>
        <w:t>)</w:t>
      </w:r>
      <w:r w:rsidRPr="00D961B9">
        <w:rPr>
          <w:rFonts w:ascii="Calibri" w:hAnsi="Calibri"/>
          <w:sz w:val="24"/>
          <w:szCs w:val="24"/>
          <w:lang w:val="en-GB"/>
        </w:rPr>
        <w:t xml:space="preserve">. The higher the </w:t>
      </w:r>
      <w:r w:rsidR="00D07A66" w:rsidRPr="00D961B9">
        <w:rPr>
          <w:rFonts w:ascii="Calibri" w:hAnsi="Calibri"/>
          <w:sz w:val="24"/>
          <w:szCs w:val="24"/>
          <w:lang w:val="en-GB"/>
        </w:rPr>
        <w:t>index</w:t>
      </w:r>
      <w:r w:rsidRPr="00D961B9">
        <w:rPr>
          <w:rFonts w:ascii="Calibri" w:hAnsi="Calibri"/>
          <w:sz w:val="24"/>
          <w:szCs w:val="24"/>
          <w:lang w:val="en-GB"/>
        </w:rPr>
        <w:t xml:space="preserve">, the more significant is the site. </w:t>
      </w:r>
    </w:p>
    <w:p w14:paraId="09A3AD9F" w14:textId="77777777" w:rsidR="00514B88" w:rsidRPr="00D961B9" w:rsidRDefault="00514B88" w:rsidP="00514B88">
      <w:pPr>
        <w:autoSpaceDE w:val="0"/>
        <w:autoSpaceDN w:val="0"/>
        <w:adjustRightInd w:val="0"/>
        <w:spacing w:after="0" w:line="288" w:lineRule="auto"/>
        <w:rPr>
          <w:rFonts w:ascii="Calibri" w:hAnsi="Calibri"/>
          <w:sz w:val="24"/>
          <w:szCs w:val="24"/>
          <w:lang w:val="en-GB"/>
        </w:rPr>
      </w:pPr>
    </w:p>
    <w:p w14:paraId="674871EB" w14:textId="6848FC52" w:rsidR="00472FD6" w:rsidRPr="00D961B9" w:rsidRDefault="00EF4605" w:rsidP="00514B88">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It must be emphasised that t</w:t>
      </w:r>
      <w:r w:rsidR="00374FD3" w:rsidRPr="00D961B9">
        <w:rPr>
          <w:rFonts w:ascii="Calibri" w:hAnsi="Calibri"/>
          <w:sz w:val="24"/>
          <w:szCs w:val="24"/>
          <w:lang w:val="en-GB"/>
        </w:rPr>
        <w:t xml:space="preserve">he </w:t>
      </w:r>
      <w:r w:rsidRPr="00D961B9">
        <w:rPr>
          <w:rFonts w:ascii="Calibri" w:hAnsi="Calibri"/>
          <w:sz w:val="24"/>
          <w:szCs w:val="24"/>
          <w:lang w:val="en-GB"/>
        </w:rPr>
        <w:t>c</w:t>
      </w:r>
      <w:r w:rsidR="00374FD3" w:rsidRPr="00D961B9">
        <w:rPr>
          <w:rFonts w:ascii="Calibri" w:hAnsi="Calibri"/>
          <w:sz w:val="24"/>
          <w:szCs w:val="24"/>
          <w:lang w:val="en-GB"/>
        </w:rPr>
        <w:t xml:space="preserve">onservation </w:t>
      </w:r>
      <w:r w:rsidRPr="00D961B9">
        <w:rPr>
          <w:rFonts w:ascii="Calibri" w:hAnsi="Calibri"/>
          <w:sz w:val="24"/>
          <w:szCs w:val="24"/>
          <w:lang w:val="en-GB"/>
        </w:rPr>
        <w:t>s</w:t>
      </w:r>
      <w:r w:rsidR="00374FD3" w:rsidRPr="00D961B9">
        <w:rPr>
          <w:rFonts w:ascii="Calibri" w:hAnsi="Calibri"/>
          <w:sz w:val="24"/>
          <w:szCs w:val="24"/>
          <w:lang w:val="en-GB"/>
        </w:rPr>
        <w:t xml:space="preserve">ignificance </w:t>
      </w:r>
      <w:r w:rsidRPr="00D961B9">
        <w:rPr>
          <w:rFonts w:ascii="Calibri" w:hAnsi="Calibri"/>
          <w:sz w:val="24"/>
          <w:szCs w:val="24"/>
          <w:lang w:val="en-GB"/>
        </w:rPr>
        <w:t>i</w:t>
      </w:r>
      <w:r w:rsidR="00374FD3" w:rsidRPr="00D961B9">
        <w:rPr>
          <w:rFonts w:ascii="Calibri" w:hAnsi="Calibri"/>
          <w:sz w:val="24"/>
          <w:szCs w:val="24"/>
          <w:lang w:val="en-GB"/>
        </w:rPr>
        <w:t>ndex is not a unit but an index that serves to provide guidance regarding the difficulty of offsetting impacts at a site, particularly where endemism is high in the impacted area. For example, as the number of plant micro-endemics in Madagascar’s littoral forests is extremely high and the spatial distribution of the habitat is very small (</w:t>
      </w:r>
      <w:r w:rsidR="00374FD3" w:rsidRPr="00D961B9">
        <w:rPr>
          <w:rFonts w:ascii="Calibri" w:hAnsi="Calibri"/>
          <w:sz w:val="24"/>
          <w:szCs w:val="24"/>
          <w:lang w:val="en-GB"/>
        </w:rPr>
        <w:fldChar w:fldCharType="begin" w:fldLock="1"/>
      </w:r>
      <w:r w:rsidR="00374FD3" w:rsidRPr="00D961B9">
        <w:rPr>
          <w:rFonts w:ascii="Calibri" w:hAnsi="Calibri"/>
          <w:sz w:val="24"/>
          <w:szCs w:val="24"/>
          <w:lang w:val="en-GB"/>
        </w:rPr>
        <w:instrText>ADDIN CSL_CITATION { "citationItems" : [ { "id" : "ITEM-1", "itemData" : { "author" : [ { "dropping-particle" : "", "family" : "Rabenantoandro", "given" : "Johny", "non-dropping-particle" : "", "parse-names" : false, "suffix" : "" }, { "dropping-particle" : "", "family" : "Randriatafika", "given" : "Faly", "non-dropping-particle" : "", "parse-names" : false, "suffix" : "" }, { "dropping-particle" : "", "family" : "Lowry", "given" : "Porter P", "non-dropping-particle" : "", "parse-names" : false, "suffix" : "" } ], "id" : "ITEM-1", "issued" : { "date-parts" : [ [ "2007" ] ] }, "page" : "65-94", "title" : "Floristic and Structural Characteristics of Remnant Littoral Forest Sites in the Tolagnaro Area", "type" : "chapter" }, "uris" : [ "http://www.mendeley.com/documents/?uuid=0cfd79eb-db02-4976-b499-8296a628f053" ] } ], "mendeley" : { "manualFormatting" : "Rabenantoandro, Randriatafika, &amp; Lowry, 2007)", "previouslyFormattedCitation" : "(Rabenantoandro, Randriatafika, &amp; Lowry 2007)" }, "properties" : { "noteIndex" : 0 }, "schema" : "https://github.com/citation-style-language/schema/raw/master/csl-citation.json" }</w:instrText>
      </w:r>
      <w:r w:rsidR="00374FD3" w:rsidRPr="00D961B9">
        <w:rPr>
          <w:rFonts w:ascii="Calibri" w:hAnsi="Calibri"/>
          <w:sz w:val="24"/>
          <w:szCs w:val="24"/>
          <w:lang w:val="en-GB"/>
        </w:rPr>
        <w:fldChar w:fldCharType="separate"/>
      </w:r>
      <w:r w:rsidR="00374FD3" w:rsidRPr="00D961B9">
        <w:rPr>
          <w:rFonts w:ascii="Calibri" w:hAnsi="Calibri"/>
          <w:sz w:val="24"/>
          <w:szCs w:val="24"/>
          <w:lang w:val="en-GB"/>
        </w:rPr>
        <w:t>Rabenantoandro</w:t>
      </w:r>
      <w:r w:rsidR="005A678C" w:rsidRPr="00D961B9">
        <w:rPr>
          <w:rFonts w:ascii="Calibri" w:hAnsi="Calibri"/>
          <w:sz w:val="24"/>
          <w:szCs w:val="24"/>
          <w:lang w:val="en-GB"/>
        </w:rPr>
        <w:t xml:space="preserve"> et al.</w:t>
      </w:r>
      <w:r w:rsidR="00374FD3" w:rsidRPr="00D961B9">
        <w:rPr>
          <w:rFonts w:ascii="Calibri" w:hAnsi="Calibri"/>
          <w:sz w:val="24"/>
          <w:szCs w:val="24"/>
          <w:lang w:val="en-GB"/>
        </w:rPr>
        <w:t xml:space="preserve"> 2007)</w:t>
      </w:r>
      <w:r w:rsidR="00374FD3" w:rsidRPr="00D961B9">
        <w:rPr>
          <w:rFonts w:ascii="Calibri" w:hAnsi="Calibri"/>
          <w:sz w:val="24"/>
          <w:szCs w:val="24"/>
          <w:lang w:val="en-GB"/>
        </w:rPr>
        <w:fldChar w:fldCharType="end"/>
      </w:r>
      <w:r w:rsidR="00374FD3" w:rsidRPr="00D961B9">
        <w:rPr>
          <w:rFonts w:ascii="Calibri" w:hAnsi="Calibri"/>
          <w:sz w:val="24"/>
          <w:szCs w:val="24"/>
          <w:lang w:val="en-GB"/>
        </w:rPr>
        <w:t>, the conservation significance of impacted forests is well above any chosen out-of-kind</w:t>
      </w:r>
      <w:r w:rsidR="000C7838" w:rsidRPr="00D961B9">
        <w:rPr>
          <w:rFonts w:ascii="Calibri" w:hAnsi="Calibri"/>
          <w:sz w:val="24"/>
          <w:szCs w:val="24"/>
          <w:lang w:val="en-GB"/>
        </w:rPr>
        <w:t xml:space="preserve"> offset </w:t>
      </w:r>
      <w:r w:rsidR="00374FD3" w:rsidRPr="00D961B9">
        <w:rPr>
          <w:rFonts w:ascii="Calibri" w:hAnsi="Calibri"/>
          <w:sz w:val="24"/>
          <w:szCs w:val="24"/>
          <w:lang w:val="en-GB"/>
        </w:rPr>
        <w:t>(</w:t>
      </w:r>
      <w:r w:rsidR="007A2A20" w:rsidRPr="00D961B9">
        <w:rPr>
          <w:rFonts w:ascii="Calibri" w:hAnsi="Calibri"/>
          <w:sz w:val="24"/>
          <w:szCs w:val="24"/>
          <w:lang w:val="en-GB"/>
        </w:rPr>
        <w:t>Figure</w:t>
      </w:r>
      <w:r w:rsidR="00374FD3" w:rsidRPr="00D961B9">
        <w:rPr>
          <w:rFonts w:ascii="Calibri" w:hAnsi="Calibri"/>
          <w:sz w:val="24"/>
          <w:szCs w:val="24"/>
          <w:lang w:val="en-GB"/>
        </w:rPr>
        <w:t xml:space="preserve"> </w:t>
      </w:r>
      <w:r w:rsidR="00436CB2" w:rsidRPr="00D961B9">
        <w:rPr>
          <w:rFonts w:ascii="Calibri" w:hAnsi="Calibri"/>
          <w:sz w:val="24"/>
          <w:szCs w:val="24"/>
          <w:lang w:val="en-GB"/>
        </w:rPr>
        <w:t>A.</w:t>
      </w:r>
      <w:r w:rsidR="00771574" w:rsidRPr="00D961B9">
        <w:rPr>
          <w:rFonts w:ascii="Calibri" w:hAnsi="Calibri"/>
          <w:sz w:val="24"/>
          <w:szCs w:val="24"/>
          <w:lang w:val="en-GB"/>
        </w:rPr>
        <w:t>2</w:t>
      </w:r>
      <w:r w:rsidR="002A4614" w:rsidRPr="00D961B9">
        <w:rPr>
          <w:rFonts w:ascii="Calibri" w:hAnsi="Calibri"/>
          <w:sz w:val="24"/>
          <w:szCs w:val="24"/>
          <w:lang w:val="en-GB"/>
        </w:rPr>
        <w:t>d</w:t>
      </w:r>
      <w:r w:rsidR="00374FD3" w:rsidRPr="00D961B9">
        <w:rPr>
          <w:rFonts w:ascii="Calibri" w:hAnsi="Calibri"/>
          <w:sz w:val="24"/>
          <w:szCs w:val="24"/>
          <w:lang w:val="en-GB"/>
        </w:rPr>
        <w:t xml:space="preserve">).  Accordingly, the </w:t>
      </w:r>
      <w:r w:rsidRPr="00D961B9">
        <w:rPr>
          <w:rFonts w:ascii="Calibri" w:hAnsi="Calibri"/>
          <w:sz w:val="24"/>
          <w:szCs w:val="24"/>
          <w:lang w:val="en-GB"/>
        </w:rPr>
        <w:t>c</w:t>
      </w:r>
      <w:r w:rsidR="00374FD3" w:rsidRPr="00D961B9">
        <w:rPr>
          <w:rFonts w:ascii="Calibri" w:hAnsi="Calibri"/>
          <w:sz w:val="24"/>
          <w:szCs w:val="24"/>
          <w:lang w:val="en-GB"/>
        </w:rPr>
        <w:t xml:space="preserve">onservation </w:t>
      </w:r>
      <w:r w:rsidRPr="00D961B9">
        <w:rPr>
          <w:rFonts w:ascii="Calibri" w:hAnsi="Calibri"/>
          <w:sz w:val="24"/>
          <w:szCs w:val="24"/>
          <w:lang w:val="en-GB"/>
        </w:rPr>
        <w:t>s</w:t>
      </w:r>
      <w:r w:rsidR="00374FD3" w:rsidRPr="00D961B9">
        <w:rPr>
          <w:rFonts w:ascii="Calibri" w:hAnsi="Calibri"/>
          <w:sz w:val="24"/>
          <w:szCs w:val="24"/>
          <w:lang w:val="en-GB"/>
        </w:rPr>
        <w:t xml:space="preserve">ignificance </w:t>
      </w:r>
      <w:r w:rsidRPr="00D961B9">
        <w:rPr>
          <w:rFonts w:ascii="Calibri" w:hAnsi="Calibri"/>
          <w:sz w:val="24"/>
          <w:szCs w:val="24"/>
          <w:lang w:val="en-GB"/>
        </w:rPr>
        <w:t>i</w:t>
      </w:r>
      <w:r w:rsidR="00374FD3" w:rsidRPr="00D961B9">
        <w:rPr>
          <w:rFonts w:ascii="Calibri" w:hAnsi="Calibri"/>
          <w:sz w:val="24"/>
          <w:szCs w:val="24"/>
          <w:lang w:val="en-GB"/>
        </w:rPr>
        <w:t xml:space="preserve">ndex could play an important role in </w:t>
      </w:r>
      <w:r w:rsidRPr="00D961B9">
        <w:rPr>
          <w:rFonts w:ascii="Calibri" w:hAnsi="Calibri"/>
          <w:sz w:val="24"/>
          <w:szCs w:val="24"/>
          <w:lang w:val="en-GB"/>
        </w:rPr>
        <w:t xml:space="preserve">evaluating </w:t>
      </w:r>
      <w:r w:rsidR="00374FD3" w:rsidRPr="00D961B9">
        <w:rPr>
          <w:rFonts w:ascii="Calibri" w:hAnsi="Calibri"/>
          <w:sz w:val="24"/>
          <w:szCs w:val="24"/>
          <w:lang w:val="en-GB"/>
        </w:rPr>
        <w:t xml:space="preserve">areas where </w:t>
      </w:r>
      <w:r w:rsidRPr="00D961B9">
        <w:rPr>
          <w:rFonts w:ascii="Calibri" w:hAnsi="Calibri"/>
          <w:sz w:val="24"/>
          <w:szCs w:val="24"/>
          <w:lang w:val="en-GB"/>
        </w:rPr>
        <w:t xml:space="preserve">proposed or current </w:t>
      </w:r>
      <w:r w:rsidR="00374FD3" w:rsidRPr="00D961B9">
        <w:rPr>
          <w:rFonts w:ascii="Calibri" w:hAnsi="Calibri"/>
          <w:sz w:val="24"/>
          <w:szCs w:val="24"/>
          <w:lang w:val="en-GB"/>
        </w:rPr>
        <w:t>offsets include out-of-kind offset habitats</w:t>
      </w:r>
      <w:r w:rsidR="00F4327F" w:rsidRPr="00D961B9">
        <w:rPr>
          <w:rFonts w:ascii="Calibri" w:hAnsi="Calibri"/>
          <w:sz w:val="24"/>
          <w:szCs w:val="24"/>
          <w:lang w:val="en-GB"/>
        </w:rPr>
        <w:t>.</w:t>
      </w:r>
    </w:p>
    <w:p w14:paraId="6147374F" w14:textId="77777777" w:rsidR="00170E18" w:rsidRPr="00D961B9" w:rsidRDefault="006048D4" w:rsidP="00D961B9">
      <w:pPr>
        <w:pStyle w:val="Heading1"/>
        <w:numPr>
          <w:ilvl w:val="0"/>
          <w:numId w:val="36"/>
        </w:numPr>
        <w:ind w:left="426" w:hanging="426"/>
        <w:rPr>
          <w:rFonts w:ascii="Calibri" w:eastAsiaTheme="minorHAnsi" w:hAnsi="Calibri" w:cstheme="minorBidi"/>
          <w:bCs w:val="0"/>
          <w:color w:val="auto"/>
          <w:sz w:val="24"/>
          <w:szCs w:val="24"/>
          <w:lang w:val="en-GB"/>
        </w:rPr>
      </w:pPr>
      <w:r w:rsidRPr="00D961B9">
        <w:rPr>
          <w:rFonts w:ascii="Calibri" w:eastAsiaTheme="minorHAnsi" w:hAnsi="Calibri" w:cstheme="minorBidi"/>
          <w:bCs w:val="0"/>
          <w:color w:val="auto"/>
          <w:sz w:val="24"/>
          <w:szCs w:val="24"/>
          <w:lang w:val="en-GB"/>
        </w:rPr>
        <w:t>C</w:t>
      </w:r>
      <w:r w:rsidR="009740BD" w:rsidRPr="00D961B9">
        <w:rPr>
          <w:rFonts w:ascii="Calibri" w:eastAsiaTheme="minorHAnsi" w:hAnsi="Calibri" w:cstheme="minorBidi"/>
          <w:bCs w:val="0"/>
          <w:color w:val="auto"/>
          <w:sz w:val="24"/>
          <w:szCs w:val="24"/>
          <w:lang w:val="en-GB"/>
        </w:rPr>
        <w:t>ounterfactual scenarios</w:t>
      </w:r>
      <w:r w:rsidR="00454AC4" w:rsidRPr="00D961B9">
        <w:rPr>
          <w:rFonts w:ascii="Calibri" w:eastAsiaTheme="minorHAnsi" w:hAnsi="Calibri" w:cstheme="minorBidi"/>
          <w:bCs w:val="0"/>
          <w:color w:val="auto"/>
          <w:sz w:val="24"/>
          <w:szCs w:val="24"/>
          <w:lang w:val="en-GB"/>
        </w:rPr>
        <w:t>: No-net-</w:t>
      </w:r>
      <w:r w:rsidR="00714424" w:rsidRPr="00D961B9">
        <w:rPr>
          <w:rFonts w:ascii="Calibri" w:eastAsiaTheme="minorHAnsi" w:hAnsi="Calibri" w:cstheme="minorBidi"/>
          <w:bCs w:val="0"/>
          <w:color w:val="auto"/>
          <w:sz w:val="24"/>
          <w:szCs w:val="24"/>
          <w:lang w:val="en-GB"/>
        </w:rPr>
        <w:t>loss compared to what?</w:t>
      </w:r>
      <w:r w:rsidR="009740BD" w:rsidRPr="00D961B9">
        <w:rPr>
          <w:rFonts w:ascii="Calibri" w:eastAsiaTheme="minorHAnsi" w:hAnsi="Calibri" w:cstheme="minorBidi"/>
          <w:bCs w:val="0"/>
          <w:color w:val="auto"/>
          <w:sz w:val="24"/>
          <w:szCs w:val="24"/>
          <w:lang w:val="en-GB"/>
        </w:rPr>
        <w:t xml:space="preserve"> </w:t>
      </w:r>
      <w:r w:rsidR="0030156D" w:rsidRPr="00D961B9">
        <w:rPr>
          <w:rFonts w:ascii="Calibri" w:eastAsiaTheme="minorHAnsi" w:hAnsi="Calibri" w:cstheme="minorBidi"/>
          <w:bCs w:val="0"/>
          <w:color w:val="auto"/>
          <w:sz w:val="24"/>
          <w:szCs w:val="24"/>
          <w:lang w:val="en-GB"/>
        </w:rPr>
        <w:t xml:space="preserve"> </w:t>
      </w:r>
    </w:p>
    <w:p w14:paraId="0421C3F8" w14:textId="79A3D930" w:rsidR="005E549F" w:rsidRPr="00D961B9" w:rsidRDefault="00E41AAD" w:rsidP="007A2A20">
      <w:pPr>
        <w:pStyle w:val="Heading2"/>
        <w:numPr>
          <w:ilvl w:val="0"/>
          <w:numId w:val="0"/>
        </w:numPr>
        <w:rPr>
          <w:sz w:val="24"/>
          <w:szCs w:val="24"/>
        </w:rPr>
      </w:pPr>
      <w:r w:rsidRPr="00D961B9">
        <w:rPr>
          <w:sz w:val="24"/>
          <w:szCs w:val="24"/>
        </w:rPr>
        <w:t>3</w:t>
      </w:r>
      <w:r w:rsidR="007A2A20" w:rsidRPr="00D961B9">
        <w:rPr>
          <w:sz w:val="24"/>
          <w:szCs w:val="24"/>
        </w:rPr>
        <w:t xml:space="preserve">.1 </w:t>
      </w:r>
      <w:r w:rsidR="00696296" w:rsidRPr="00D961B9">
        <w:rPr>
          <w:sz w:val="24"/>
          <w:szCs w:val="24"/>
        </w:rPr>
        <w:t>What area is affected?</w:t>
      </w:r>
    </w:p>
    <w:p w14:paraId="1E67B4A6" w14:textId="00320F24" w:rsidR="002709A0" w:rsidRPr="00D961B9" w:rsidRDefault="006541AB" w:rsidP="002709A0">
      <w:pPr>
        <w:autoSpaceDE w:val="0"/>
        <w:autoSpaceDN w:val="0"/>
        <w:adjustRightInd w:val="0"/>
        <w:spacing w:line="288" w:lineRule="auto"/>
        <w:rPr>
          <w:rFonts w:ascii="Calibri" w:hAnsi="Calibri"/>
          <w:sz w:val="24"/>
          <w:szCs w:val="24"/>
          <w:lang w:val="en-GB"/>
        </w:rPr>
      </w:pPr>
      <w:r w:rsidRPr="00D961B9">
        <w:rPr>
          <w:rFonts w:ascii="Calibri" w:hAnsi="Calibri"/>
          <w:sz w:val="24"/>
          <w:szCs w:val="24"/>
          <w:lang w:val="en-GB"/>
        </w:rPr>
        <w:t>Our</w:t>
      </w:r>
      <w:r w:rsidR="0017369D" w:rsidRPr="00D961B9">
        <w:rPr>
          <w:rFonts w:ascii="Calibri" w:hAnsi="Calibri"/>
          <w:sz w:val="24"/>
          <w:szCs w:val="24"/>
          <w:lang w:val="en-GB"/>
        </w:rPr>
        <w:t xml:space="preserve"> discussion thus far has focussed on how </w:t>
      </w:r>
      <w:r w:rsidR="006048D4" w:rsidRPr="00D961B9">
        <w:rPr>
          <w:rFonts w:ascii="Calibri" w:hAnsi="Calibri"/>
          <w:sz w:val="24"/>
          <w:szCs w:val="24"/>
          <w:lang w:val="en-GB"/>
        </w:rPr>
        <w:t xml:space="preserve">to </w:t>
      </w:r>
      <w:r w:rsidR="0017369D" w:rsidRPr="00D961B9">
        <w:rPr>
          <w:rFonts w:ascii="Calibri" w:hAnsi="Calibri"/>
          <w:sz w:val="24"/>
          <w:szCs w:val="24"/>
          <w:lang w:val="en-GB"/>
        </w:rPr>
        <w:t xml:space="preserve">define </w:t>
      </w:r>
      <w:r w:rsidR="006048D4" w:rsidRPr="00D961B9">
        <w:rPr>
          <w:rFonts w:ascii="Calibri" w:hAnsi="Calibri"/>
          <w:sz w:val="24"/>
          <w:szCs w:val="24"/>
          <w:lang w:val="en-GB"/>
        </w:rPr>
        <w:t xml:space="preserve">the </w:t>
      </w:r>
      <w:r w:rsidR="0017369D" w:rsidRPr="00D961B9">
        <w:rPr>
          <w:rFonts w:ascii="Calibri" w:hAnsi="Calibri"/>
          <w:sz w:val="24"/>
          <w:szCs w:val="24"/>
          <w:lang w:val="en-GB"/>
        </w:rPr>
        <w:t xml:space="preserve">biodiversity value of a site. </w:t>
      </w:r>
      <w:r w:rsidR="006048D4" w:rsidRPr="00D961B9">
        <w:rPr>
          <w:rFonts w:ascii="Calibri" w:hAnsi="Calibri"/>
          <w:sz w:val="24"/>
          <w:szCs w:val="24"/>
          <w:lang w:val="en-GB"/>
        </w:rPr>
        <w:t>The next step is then to</w:t>
      </w:r>
      <w:r w:rsidR="0017369D" w:rsidRPr="00D961B9">
        <w:rPr>
          <w:rFonts w:ascii="Calibri" w:hAnsi="Calibri"/>
          <w:sz w:val="24"/>
          <w:szCs w:val="24"/>
          <w:lang w:val="en-GB"/>
        </w:rPr>
        <w:t xml:space="preserve"> calculate</w:t>
      </w:r>
      <w:r w:rsidRPr="00D961B9">
        <w:rPr>
          <w:rFonts w:ascii="Calibri" w:hAnsi="Calibri"/>
          <w:sz w:val="24"/>
          <w:szCs w:val="24"/>
          <w:lang w:val="en-GB"/>
        </w:rPr>
        <w:t xml:space="preserve"> whether</w:t>
      </w:r>
      <w:r w:rsidR="0017369D" w:rsidRPr="00D961B9">
        <w:rPr>
          <w:rFonts w:ascii="Calibri" w:hAnsi="Calibri"/>
          <w:sz w:val="24"/>
          <w:szCs w:val="24"/>
          <w:lang w:val="en-GB"/>
        </w:rPr>
        <w:t xml:space="preserve"> </w:t>
      </w:r>
      <w:r w:rsidR="00910203" w:rsidRPr="00D961B9">
        <w:rPr>
          <w:rFonts w:ascii="Calibri" w:hAnsi="Calibri"/>
          <w:sz w:val="24"/>
          <w:szCs w:val="24"/>
          <w:lang w:val="en-GB"/>
        </w:rPr>
        <w:t>no-</w:t>
      </w:r>
      <w:r w:rsidR="0017369D" w:rsidRPr="00D961B9">
        <w:rPr>
          <w:rFonts w:ascii="Calibri" w:hAnsi="Calibri"/>
          <w:sz w:val="24"/>
          <w:szCs w:val="24"/>
          <w:lang w:val="en-GB"/>
        </w:rPr>
        <w:t>net losses</w:t>
      </w:r>
      <w:r w:rsidRPr="00D961B9">
        <w:rPr>
          <w:rFonts w:ascii="Calibri" w:hAnsi="Calibri"/>
          <w:sz w:val="24"/>
          <w:szCs w:val="24"/>
          <w:lang w:val="en-GB"/>
        </w:rPr>
        <w:t xml:space="preserve"> (or</w:t>
      </w:r>
      <w:r w:rsidR="0017369D" w:rsidRPr="00D961B9">
        <w:rPr>
          <w:rFonts w:ascii="Calibri" w:hAnsi="Calibri"/>
          <w:sz w:val="24"/>
          <w:szCs w:val="24"/>
          <w:lang w:val="en-GB"/>
        </w:rPr>
        <w:t xml:space="preserve"> </w:t>
      </w:r>
      <w:r w:rsidRPr="00D961B9">
        <w:rPr>
          <w:rFonts w:ascii="Calibri" w:hAnsi="Calibri"/>
          <w:sz w:val="24"/>
          <w:szCs w:val="24"/>
          <w:lang w:val="en-GB"/>
        </w:rPr>
        <w:t xml:space="preserve">even </w:t>
      </w:r>
      <w:r w:rsidR="0017369D" w:rsidRPr="00D961B9">
        <w:rPr>
          <w:rFonts w:ascii="Calibri" w:hAnsi="Calibri"/>
          <w:sz w:val="24"/>
          <w:szCs w:val="24"/>
          <w:lang w:val="en-GB"/>
        </w:rPr>
        <w:t>gains</w:t>
      </w:r>
      <w:r w:rsidRPr="00D961B9">
        <w:rPr>
          <w:rFonts w:ascii="Calibri" w:hAnsi="Calibri"/>
          <w:sz w:val="24"/>
          <w:szCs w:val="24"/>
          <w:lang w:val="en-GB"/>
        </w:rPr>
        <w:t>)</w:t>
      </w:r>
      <w:r w:rsidR="0017369D" w:rsidRPr="00D961B9">
        <w:rPr>
          <w:rFonts w:ascii="Calibri" w:hAnsi="Calibri"/>
          <w:sz w:val="24"/>
          <w:szCs w:val="24"/>
          <w:lang w:val="en-GB"/>
        </w:rPr>
        <w:t xml:space="preserve"> </w:t>
      </w:r>
      <w:r w:rsidRPr="00D961B9">
        <w:rPr>
          <w:rFonts w:ascii="Calibri" w:hAnsi="Calibri"/>
          <w:sz w:val="24"/>
          <w:szCs w:val="24"/>
          <w:lang w:val="en-GB"/>
        </w:rPr>
        <w:t>can be achieved from</w:t>
      </w:r>
      <w:r w:rsidR="0017369D" w:rsidRPr="00D961B9">
        <w:rPr>
          <w:rFonts w:ascii="Calibri" w:hAnsi="Calibri"/>
          <w:sz w:val="24"/>
          <w:szCs w:val="24"/>
          <w:lang w:val="en-GB"/>
        </w:rPr>
        <w:t xml:space="preserve"> an offset scheme compared</w:t>
      </w:r>
      <w:r w:rsidR="00910203" w:rsidRPr="00D961B9">
        <w:rPr>
          <w:rFonts w:ascii="Calibri" w:hAnsi="Calibri"/>
          <w:sz w:val="24"/>
          <w:szCs w:val="24"/>
          <w:lang w:val="en-GB"/>
        </w:rPr>
        <w:t xml:space="preserve"> to the impact of a</w:t>
      </w:r>
      <w:r w:rsidR="00EF4605" w:rsidRPr="00D961B9">
        <w:rPr>
          <w:rFonts w:ascii="Calibri" w:hAnsi="Calibri"/>
          <w:sz w:val="24"/>
          <w:szCs w:val="24"/>
          <w:lang w:val="en-GB"/>
        </w:rPr>
        <w:t xml:space="preserve"> mining </w:t>
      </w:r>
      <w:r w:rsidR="00910203" w:rsidRPr="00D961B9">
        <w:rPr>
          <w:rFonts w:ascii="Calibri" w:hAnsi="Calibri"/>
          <w:sz w:val="24"/>
          <w:szCs w:val="24"/>
          <w:lang w:val="en-GB"/>
        </w:rPr>
        <w:t xml:space="preserve">development </w:t>
      </w:r>
      <w:r w:rsidR="00EF4605" w:rsidRPr="00D961B9">
        <w:rPr>
          <w:rFonts w:ascii="Calibri" w:hAnsi="Calibri"/>
          <w:sz w:val="24"/>
          <w:szCs w:val="24"/>
          <w:lang w:val="en-GB"/>
        </w:rPr>
        <w:t xml:space="preserve">on a </w:t>
      </w:r>
      <w:r w:rsidR="00910203" w:rsidRPr="00D961B9">
        <w:rPr>
          <w:rFonts w:ascii="Calibri" w:hAnsi="Calibri"/>
          <w:sz w:val="24"/>
          <w:szCs w:val="24"/>
          <w:lang w:val="en-GB"/>
        </w:rPr>
        <w:t xml:space="preserve">site. </w:t>
      </w:r>
      <w:r w:rsidR="000D7872" w:rsidRPr="00D961B9">
        <w:rPr>
          <w:rFonts w:ascii="Calibri" w:hAnsi="Calibri"/>
          <w:sz w:val="24"/>
          <w:szCs w:val="24"/>
          <w:lang w:val="en-GB"/>
        </w:rPr>
        <w:t>Therefore</w:t>
      </w:r>
      <w:r w:rsidR="00910203" w:rsidRPr="00D961B9">
        <w:rPr>
          <w:rFonts w:ascii="Calibri" w:hAnsi="Calibri"/>
          <w:sz w:val="24"/>
          <w:szCs w:val="24"/>
          <w:lang w:val="en-GB"/>
        </w:rPr>
        <w:t>,</w:t>
      </w:r>
      <w:r w:rsidR="0017369D" w:rsidRPr="00D961B9">
        <w:rPr>
          <w:rFonts w:ascii="Calibri" w:hAnsi="Calibri"/>
          <w:sz w:val="24"/>
          <w:szCs w:val="24"/>
          <w:lang w:val="en-GB"/>
        </w:rPr>
        <w:t xml:space="preserve"> a plausible </w:t>
      </w:r>
      <w:r w:rsidR="00894460" w:rsidRPr="00D961B9">
        <w:rPr>
          <w:rFonts w:ascii="Calibri" w:hAnsi="Calibri"/>
          <w:sz w:val="24"/>
          <w:szCs w:val="24"/>
          <w:lang w:val="en-GB"/>
        </w:rPr>
        <w:t xml:space="preserve">counterfactual </w:t>
      </w:r>
      <w:r w:rsidR="0017369D" w:rsidRPr="00D961B9">
        <w:rPr>
          <w:rFonts w:ascii="Calibri" w:hAnsi="Calibri"/>
          <w:sz w:val="24"/>
          <w:szCs w:val="24"/>
          <w:lang w:val="en-GB"/>
        </w:rPr>
        <w:t xml:space="preserve">scenario needs to be established. If, </w:t>
      </w:r>
      <w:r w:rsidR="00C5697C" w:rsidRPr="00D961B9">
        <w:rPr>
          <w:rFonts w:ascii="Calibri" w:hAnsi="Calibri"/>
          <w:sz w:val="24"/>
          <w:szCs w:val="24"/>
          <w:lang w:val="en-GB"/>
        </w:rPr>
        <w:t>e.g.</w:t>
      </w:r>
      <w:r w:rsidR="0017369D" w:rsidRPr="00D961B9">
        <w:rPr>
          <w:rFonts w:ascii="Calibri" w:hAnsi="Calibri"/>
          <w:sz w:val="24"/>
          <w:szCs w:val="24"/>
          <w:lang w:val="en-GB"/>
        </w:rPr>
        <w:t>, forests at a mining site were at the point of being destroyed</w:t>
      </w:r>
      <w:r w:rsidR="00426CFA" w:rsidRPr="00D961B9">
        <w:rPr>
          <w:rFonts w:ascii="Calibri" w:hAnsi="Calibri"/>
          <w:sz w:val="24"/>
          <w:szCs w:val="24"/>
          <w:lang w:val="en-GB"/>
        </w:rPr>
        <w:t xml:space="preserve"> by other </w:t>
      </w:r>
      <w:r w:rsidR="00C5697C" w:rsidRPr="00D961B9">
        <w:rPr>
          <w:rFonts w:ascii="Calibri" w:hAnsi="Calibri"/>
          <w:sz w:val="24"/>
          <w:szCs w:val="24"/>
          <w:lang w:val="en-GB"/>
        </w:rPr>
        <w:t xml:space="preserve">non-mining factors or </w:t>
      </w:r>
      <w:r w:rsidR="00426CFA" w:rsidRPr="00D961B9">
        <w:rPr>
          <w:rFonts w:ascii="Calibri" w:hAnsi="Calibri"/>
          <w:sz w:val="24"/>
          <w:szCs w:val="24"/>
          <w:lang w:val="en-GB"/>
        </w:rPr>
        <w:t>agents</w:t>
      </w:r>
      <w:r w:rsidR="0017369D" w:rsidRPr="00D961B9">
        <w:rPr>
          <w:rFonts w:ascii="Calibri" w:hAnsi="Calibri"/>
          <w:sz w:val="24"/>
          <w:szCs w:val="24"/>
          <w:lang w:val="en-GB"/>
        </w:rPr>
        <w:t xml:space="preserve">, then it could be argued that </w:t>
      </w:r>
      <w:r w:rsidR="00C5697C" w:rsidRPr="00D961B9">
        <w:rPr>
          <w:rFonts w:ascii="Calibri" w:hAnsi="Calibri"/>
          <w:sz w:val="24"/>
          <w:szCs w:val="24"/>
          <w:lang w:val="en-GB"/>
        </w:rPr>
        <w:t>the mine creates no net negative impact</w:t>
      </w:r>
      <w:r w:rsidR="0017369D" w:rsidRPr="00D961B9">
        <w:rPr>
          <w:rFonts w:ascii="Calibri" w:hAnsi="Calibri"/>
          <w:sz w:val="24"/>
          <w:szCs w:val="24"/>
          <w:lang w:val="en-GB"/>
        </w:rPr>
        <w:t xml:space="preserve">. Conversely, if </w:t>
      </w:r>
      <w:r w:rsidRPr="00D961B9">
        <w:rPr>
          <w:rFonts w:ascii="Calibri" w:hAnsi="Calibri"/>
          <w:sz w:val="24"/>
          <w:szCs w:val="24"/>
          <w:lang w:val="en-GB"/>
        </w:rPr>
        <w:t>habitat</w:t>
      </w:r>
      <w:r w:rsidR="00426CFA" w:rsidRPr="00D961B9">
        <w:rPr>
          <w:rFonts w:ascii="Calibri" w:hAnsi="Calibri"/>
          <w:sz w:val="24"/>
          <w:szCs w:val="24"/>
          <w:lang w:val="en-GB"/>
        </w:rPr>
        <w:t xml:space="preserve"> at the offset</w:t>
      </w:r>
      <w:r w:rsidR="0017369D" w:rsidRPr="00D961B9">
        <w:rPr>
          <w:rFonts w:ascii="Calibri" w:hAnsi="Calibri"/>
          <w:sz w:val="24"/>
          <w:szCs w:val="24"/>
          <w:lang w:val="en-GB"/>
        </w:rPr>
        <w:t xml:space="preserve"> site </w:t>
      </w:r>
      <w:r w:rsidR="000A6EDF" w:rsidRPr="00D961B9">
        <w:rPr>
          <w:rFonts w:ascii="Calibri" w:hAnsi="Calibri"/>
          <w:sz w:val="24"/>
          <w:szCs w:val="24"/>
          <w:lang w:val="en-GB"/>
        </w:rPr>
        <w:t>was under</w:t>
      </w:r>
      <w:r w:rsidR="0017369D" w:rsidRPr="00D961B9">
        <w:rPr>
          <w:rFonts w:ascii="Calibri" w:hAnsi="Calibri"/>
          <w:sz w:val="24"/>
          <w:szCs w:val="24"/>
          <w:lang w:val="en-GB"/>
        </w:rPr>
        <w:t xml:space="preserve"> no threat of degradation</w:t>
      </w:r>
      <w:r w:rsidR="00426CFA" w:rsidRPr="00D961B9">
        <w:rPr>
          <w:rFonts w:ascii="Calibri" w:hAnsi="Calibri"/>
          <w:sz w:val="24"/>
          <w:szCs w:val="24"/>
          <w:lang w:val="en-GB"/>
        </w:rPr>
        <w:t>, then protection</w:t>
      </w:r>
      <w:r w:rsidR="0017369D" w:rsidRPr="00D961B9">
        <w:rPr>
          <w:rFonts w:ascii="Calibri" w:hAnsi="Calibri"/>
          <w:sz w:val="24"/>
          <w:szCs w:val="24"/>
          <w:lang w:val="en-GB"/>
        </w:rPr>
        <w:t xml:space="preserve"> of that </w:t>
      </w:r>
      <w:r w:rsidRPr="00D961B9">
        <w:rPr>
          <w:rFonts w:ascii="Calibri" w:hAnsi="Calibri"/>
          <w:sz w:val="24"/>
          <w:szCs w:val="24"/>
          <w:lang w:val="en-GB"/>
        </w:rPr>
        <w:t>habitat</w:t>
      </w:r>
      <w:r w:rsidR="0017369D" w:rsidRPr="00D961B9">
        <w:rPr>
          <w:rFonts w:ascii="Calibri" w:hAnsi="Calibri"/>
          <w:sz w:val="24"/>
          <w:szCs w:val="24"/>
          <w:lang w:val="en-GB"/>
        </w:rPr>
        <w:t xml:space="preserve"> would achieve no net benefit.</w:t>
      </w:r>
      <w:r w:rsidR="000D7872" w:rsidRPr="00D961B9">
        <w:rPr>
          <w:rFonts w:ascii="Calibri" w:hAnsi="Calibri"/>
          <w:sz w:val="24"/>
          <w:szCs w:val="24"/>
          <w:lang w:val="en-GB"/>
        </w:rPr>
        <w:t xml:space="preserve"> </w:t>
      </w:r>
      <w:r w:rsidR="00075332" w:rsidRPr="00D961B9">
        <w:rPr>
          <w:rFonts w:ascii="Calibri" w:hAnsi="Calibri"/>
          <w:sz w:val="24"/>
          <w:szCs w:val="24"/>
          <w:lang w:val="en-GB"/>
        </w:rPr>
        <w:t>As such, counterfactuals play a crucial role in designing</w:t>
      </w:r>
      <w:r w:rsidR="0017369D" w:rsidRPr="00D961B9">
        <w:rPr>
          <w:rFonts w:ascii="Calibri" w:hAnsi="Calibri"/>
          <w:sz w:val="24"/>
          <w:szCs w:val="24"/>
          <w:lang w:val="en-GB"/>
        </w:rPr>
        <w:t xml:space="preserve"> compensatory measures and</w:t>
      </w:r>
      <w:r w:rsidR="00075332" w:rsidRPr="00D961B9">
        <w:rPr>
          <w:rFonts w:ascii="Calibri" w:hAnsi="Calibri"/>
          <w:sz w:val="24"/>
          <w:szCs w:val="24"/>
          <w:lang w:val="en-GB"/>
        </w:rPr>
        <w:t xml:space="preserve"> quantifying </w:t>
      </w:r>
      <w:r w:rsidR="00894460" w:rsidRPr="00D961B9">
        <w:rPr>
          <w:rFonts w:ascii="Calibri" w:hAnsi="Calibri"/>
          <w:sz w:val="24"/>
          <w:szCs w:val="24"/>
          <w:lang w:val="en-GB"/>
        </w:rPr>
        <w:t>the actual net benefits they create</w:t>
      </w:r>
      <w:r w:rsidR="002709A0" w:rsidRPr="00D961B9">
        <w:rPr>
          <w:rFonts w:ascii="Calibri" w:hAnsi="Calibri"/>
          <w:sz w:val="24"/>
          <w:szCs w:val="24"/>
          <w:lang w:val="en-GB"/>
        </w:rPr>
        <w:t>.</w:t>
      </w:r>
    </w:p>
    <w:p w14:paraId="0B89F696" w14:textId="3DCF3788" w:rsidR="002709A0" w:rsidRPr="00D961B9" w:rsidRDefault="002301DF" w:rsidP="002709A0">
      <w:pPr>
        <w:autoSpaceDE w:val="0"/>
        <w:autoSpaceDN w:val="0"/>
        <w:adjustRightInd w:val="0"/>
        <w:spacing w:line="288" w:lineRule="auto"/>
        <w:rPr>
          <w:rFonts w:ascii="Calibri" w:hAnsi="Calibri"/>
          <w:b/>
          <w:sz w:val="24"/>
          <w:szCs w:val="24"/>
          <w:lang w:val="en-GB"/>
        </w:rPr>
      </w:pPr>
      <w:r w:rsidRPr="00D961B9">
        <w:rPr>
          <w:rFonts w:ascii="Calibri" w:hAnsi="Calibri"/>
          <w:sz w:val="24"/>
          <w:szCs w:val="24"/>
          <w:lang w:val="en-GB"/>
        </w:rPr>
        <w:t xml:space="preserve">Counterfactual scenarios </w:t>
      </w:r>
      <w:r w:rsidR="00A96008" w:rsidRPr="00D961B9">
        <w:rPr>
          <w:rFonts w:ascii="Calibri" w:hAnsi="Calibri"/>
          <w:sz w:val="24"/>
          <w:szCs w:val="24"/>
          <w:lang w:val="en-GB"/>
        </w:rPr>
        <w:t>require</w:t>
      </w:r>
      <w:r w:rsidRPr="00D961B9">
        <w:rPr>
          <w:rFonts w:ascii="Calibri" w:hAnsi="Calibri"/>
          <w:sz w:val="24"/>
          <w:szCs w:val="24"/>
          <w:lang w:val="en-GB"/>
        </w:rPr>
        <w:t xml:space="preserve"> a process of making inferences about </w:t>
      </w:r>
      <w:r w:rsidR="0017369D" w:rsidRPr="00D961B9">
        <w:rPr>
          <w:rFonts w:ascii="Calibri" w:hAnsi="Calibri"/>
          <w:sz w:val="24"/>
          <w:szCs w:val="24"/>
          <w:lang w:val="en-GB"/>
        </w:rPr>
        <w:t xml:space="preserve">the likelihood of </w:t>
      </w:r>
      <w:r w:rsidRPr="00D961B9">
        <w:rPr>
          <w:rFonts w:ascii="Calibri" w:hAnsi="Calibri"/>
          <w:sz w:val="24"/>
          <w:szCs w:val="24"/>
          <w:lang w:val="en-GB"/>
        </w:rPr>
        <w:t xml:space="preserve">a </w:t>
      </w:r>
      <w:r w:rsidR="00C5697C" w:rsidRPr="00D961B9">
        <w:rPr>
          <w:rFonts w:ascii="Calibri" w:hAnsi="Calibri"/>
          <w:sz w:val="24"/>
          <w:szCs w:val="24"/>
          <w:lang w:val="en-GB"/>
        </w:rPr>
        <w:t>hereto-unobserved</w:t>
      </w:r>
      <w:r w:rsidRPr="00D961B9">
        <w:rPr>
          <w:rFonts w:ascii="Calibri" w:hAnsi="Calibri"/>
          <w:sz w:val="24"/>
          <w:szCs w:val="24"/>
          <w:lang w:val="en-GB"/>
        </w:rPr>
        <w:t xml:space="preserve"> event:  how much </w:t>
      </w:r>
      <w:r w:rsidR="00C5697C" w:rsidRPr="00D961B9">
        <w:rPr>
          <w:rFonts w:ascii="Calibri" w:hAnsi="Calibri"/>
          <w:sz w:val="24"/>
          <w:szCs w:val="24"/>
          <w:lang w:val="en-GB"/>
        </w:rPr>
        <w:t xml:space="preserve">future </w:t>
      </w:r>
      <w:r w:rsidRPr="00D961B9">
        <w:rPr>
          <w:rFonts w:ascii="Calibri" w:hAnsi="Calibri"/>
          <w:sz w:val="24"/>
          <w:szCs w:val="24"/>
          <w:lang w:val="en-GB"/>
        </w:rPr>
        <w:t xml:space="preserve">deforestation would </w:t>
      </w:r>
      <w:r w:rsidR="000A6EDF" w:rsidRPr="00D961B9">
        <w:rPr>
          <w:rFonts w:ascii="Calibri" w:hAnsi="Calibri"/>
          <w:sz w:val="24"/>
          <w:szCs w:val="24"/>
          <w:lang w:val="en-GB"/>
        </w:rPr>
        <w:t>be</w:t>
      </w:r>
      <w:r w:rsidRPr="00D961B9">
        <w:rPr>
          <w:rFonts w:ascii="Calibri" w:hAnsi="Calibri"/>
          <w:sz w:val="24"/>
          <w:szCs w:val="24"/>
          <w:lang w:val="en-GB"/>
        </w:rPr>
        <w:t xml:space="preserve"> witness</w:t>
      </w:r>
      <w:r w:rsidR="000A6EDF" w:rsidRPr="00D961B9">
        <w:rPr>
          <w:rFonts w:ascii="Calibri" w:hAnsi="Calibri"/>
          <w:sz w:val="24"/>
          <w:szCs w:val="24"/>
          <w:lang w:val="en-GB"/>
        </w:rPr>
        <w:t>ed</w:t>
      </w:r>
      <w:r w:rsidRPr="00D961B9">
        <w:rPr>
          <w:rFonts w:ascii="Calibri" w:hAnsi="Calibri"/>
          <w:sz w:val="24"/>
          <w:szCs w:val="24"/>
          <w:lang w:val="en-GB"/>
        </w:rPr>
        <w:t xml:space="preserve"> had </w:t>
      </w:r>
      <w:r w:rsidR="0017369D" w:rsidRPr="00D961B9">
        <w:rPr>
          <w:rFonts w:ascii="Calibri" w:hAnsi="Calibri"/>
          <w:sz w:val="24"/>
          <w:szCs w:val="24"/>
          <w:lang w:val="en-GB"/>
        </w:rPr>
        <w:t xml:space="preserve">there </w:t>
      </w:r>
      <w:r w:rsidRPr="00D961B9">
        <w:rPr>
          <w:rFonts w:ascii="Calibri" w:hAnsi="Calibri"/>
          <w:sz w:val="24"/>
          <w:szCs w:val="24"/>
          <w:lang w:val="en-GB"/>
        </w:rPr>
        <w:t>been no conservation</w:t>
      </w:r>
      <w:r w:rsidR="0017369D" w:rsidRPr="00D961B9">
        <w:rPr>
          <w:rFonts w:ascii="Calibri" w:hAnsi="Calibri"/>
          <w:sz w:val="24"/>
          <w:szCs w:val="24"/>
          <w:lang w:val="en-GB"/>
        </w:rPr>
        <w:t xml:space="preserve"> (or mining)</w:t>
      </w:r>
      <w:r w:rsidRPr="00D961B9">
        <w:rPr>
          <w:rFonts w:ascii="Calibri" w:hAnsi="Calibri"/>
          <w:sz w:val="24"/>
          <w:szCs w:val="24"/>
          <w:lang w:val="en-GB"/>
        </w:rPr>
        <w:t xml:space="preserve"> </w:t>
      </w:r>
      <w:r w:rsidR="00465964" w:rsidRPr="00D961B9">
        <w:rPr>
          <w:rFonts w:ascii="Calibri" w:hAnsi="Calibri"/>
          <w:sz w:val="24"/>
          <w:szCs w:val="24"/>
          <w:lang w:val="en-GB"/>
        </w:rPr>
        <w:t>project</w:t>
      </w:r>
      <w:r w:rsidRPr="00D961B9">
        <w:rPr>
          <w:rFonts w:ascii="Calibri" w:hAnsi="Calibri"/>
          <w:sz w:val="24"/>
          <w:szCs w:val="24"/>
          <w:lang w:val="en-GB"/>
        </w:rPr>
        <w:t xml:space="preserve">? How many </w:t>
      </w:r>
      <w:r w:rsidR="0017369D" w:rsidRPr="00D961B9">
        <w:rPr>
          <w:rFonts w:ascii="Calibri" w:hAnsi="Calibri"/>
          <w:sz w:val="24"/>
          <w:szCs w:val="24"/>
          <w:lang w:val="en-GB"/>
        </w:rPr>
        <w:t xml:space="preserve">lemurs </w:t>
      </w:r>
      <w:r w:rsidRPr="00D961B9">
        <w:rPr>
          <w:rFonts w:ascii="Calibri" w:hAnsi="Calibri"/>
          <w:sz w:val="24"/>
          <w:szCs w:val="24"/>
          <w:lang w:val="en-GB"/>
        </w:rPr>
        <w:t xml:space="preserve">would be </w:t>
      </w:r>
      <w:r w:rsidR="0017369D" w:rsidRPr="00D961B9">
        <w:rPr>
          <w:rFonts w:ascii="Calibri" w:hAnsi="Calibri"/>
          <w:sz w:val="24"/>
          <w:szCs w:val="24"/>
          <w:lang w:val="en-GB"/>
        </w:rPr>
        <w:t xml:space="preserve">have been </w:t>
      </w:r>
      <w:r w:rsidRPr="00D961B9">
        <w:rPr>
          <w:rFonts w:ascii="Calibri" w:hAnsi="Calibri"/>
          <w:sz w:val="24"/>
          <w:szCs w:val="24"/>
          <w:lang w:val="en-GB"/>
        </w:rPr>
        <w:t xml:space="preserve">poached </w:t>
      </w:r>
      <w:r w:rsidR="0017369D" w:rsidRPr="00D961B9">
        <w:rPr>
          <w:rFonts w:ascii="Calibri" w:hAnsi="Calibri"/>
          <w:sz w:val="24"/>
          <w:szCs w:val="24"/>
          <w:lang w:val="en-GB"/>
        </w:rPr>
        <w:t>without additional protection</w:t>
      </w:r>
      <w:r w:rsidRPr="00D961B9">
        <w:rPr>
          <w:rFonts w:ascii="Calibri" w:hAnsi="Calibri"/>
          <w:sz w:val="24"/>
          <w:szCs w:val="24"/>
          <w:lang w:val="en-GB"/>
        </w:rPr>
        <w:t xml:space="preserve">? </w:t>
      </w:r>
      <w:r w:rsidR="00630474" w:rsidRPr="00D961B9">
        <w:rPr>
          <w:rFonts w:ascii="Calibri" w:hAnsi="Calibri"/>
          <w:sz w:val="24"/>
          <w:szCs w:val="24"/>
          <w:lang w:val="en-GB"/>
        </w:rPr>
        <w:t xml:space="preserve">How much passive </w:t>
      </w:r>
      <w:r w:rsidR="0030156D" w:rsidRPr="00D961B9">
        <w:rPr>
          <w:rFonts w:ascii="Calibri" w:hAnsi="Calibri"/>
          <w:sz w:val="24"/>
          <w:szCs w:val="24"/>
          <w:lang w:val="en-GB"/>
        </w:rPr>
        <w:t xml:space="preserve">regeneration </w:t>
      </w:r>
      <w:r w:rsidR="00630474" w:rsidRPr="00D961B9">
        <w:rPr>
          <w:rFonts w:ascii="Calibri" w:hAnsi="Calibri"/>
          <w:sz w:val="24"/>
          <w:szCs w:val="24"/>
          <w:lang w:val="en-GB"/>
        </w:rPr>
        <w:t>would have occurred without active restoration?</w:t>
      </w:r>
      <w:r w:rsidR="004C2062" w:rsidRPr="00D961B9">
        <w:rPr>
          <w:rFonts w:ascii="Calibri" w:hAnsi="Calibri"/>
          <w:sz w:val="24"/>
          <w:szCs w:val="24"/>
          <w:lang w:val="en-GB"/>
        </w:rPr>
        <w:t xml:space="preserve"> Answers to these questions will, by their very nature, always be contestable, and the</w:t>
      </w:r>
      <w:r w:rsidR="00C5697C" w:rsidRPr="00D961B9">
        <w:rPr>
          <w:rFonts w:ascii="Calibri" w:hAnsi="Calibri"/>
          <w:sz w:val="24"/>
          <w:szCs w:val="24"/>
          <w:lang w:val="en-GB"/>
        </w:rPr>
        <w:t>re</w:t>
      </w:r>
      <w:r w:rsidR="004C2062" w:rsidRPr="00D961B9">
        <w:rPr>
          <w:rFonts w:ascii="Calibri" w:hAnsi="Calibri"/>
          <w:sz w:val="24"/>
          <w:szCs w:val="24"/>
          <w:lang w:val="en-GB"/>
        </w:rPr>
        <w:t xml:space="preserve"> arguably exists a perverse incentive in defining such scenarios if </w:t>
      </w:r>
      <w:r w:rsidR="00C5697C" w:rsidRPr="00D961B9">
        <w:rPr>
          <w:rFonts w:ascii="Calibri" w:hAnsi="Calibri"/>
          <w:sz w:val="24"/>
          <w:szCs w:val="24"/>
          <w:lang w:val="en-GB"/>
        </w:rPr>
        <w:t>strictly independent actors do not develop them</w:t>
      </w:r>
      <w:r w:rsidR="004C2062" w:rsidRPr="00D961B9">
        <w:rPr>
          <w:rFonts w:ascii="Calibri" w:hAnsi="Calibri"/>
          <w:sz w:val="24"/>
          <w:szCs w:val="24"/>
          <w:lang w:val="en-GB"/>
        </w:rPr>
        <w:t>. Nevertheless, any evaluation of the real-</w:t>
      </w:r>
      <w:r w:rsidR="004C2062" w:rsidRPr="00D961B9">
        <w:rPr>
          <w:rFonts w:ascii="Calibri" w:hAnsi="Calibri"/>
          <w:sz w:val="24"/>
          <w:szCs w:val="24"/>
          <w:lang w:val="en-GB"/>
        </w:rPr>
        <w:lastRenderedPageBreak/>
        <w:t>world effectiveness of conservation measures – even beyond biodiversity offsets – is incomplete without consid</w:t>
      </w:r>
      <w:r w:rsidR="00C455B8" w:rsidRPr="00D961B9">
        <w:rPr>
          <w:rFonts w:ascii="Calibri" w:hAnsi="Calibri"/>
          <w:sz w:val="24"/>
          <w:szCs w:val="24"/>
          <w:lang w:val="en-GB"/>
        </w:rPr>
        <w:t xml:space="preserve">ering counterfactuals </w:t>
      </w:r>
      <w:r w:rsidR="00971DA6" w:rsidRPr="00D961B9">
        <w:rPr>
          <w:rFonts w:ascii="Calibri" w:hAnsi="Calibri"/>
          <w:sz w:val="24"/>
          <w:szCs w:val="24"/>
          <w:lang w:val="en-GB"/>
        </w:rPr>
        <w:t xml:space="preserve">and transparently communicating their rationale </w:t>
      </w:r>
      <w:r w:rsidR="00C455B8" w:rsidRPr="00D961B9">
        <w:rPr>
          <w:rFonts w:ascii="Calibri" w:hAnsi="Calibri"/>
          <w:sz w:val="24"/>
          <w:szCs w:val="24"/>
          <w:lang w:val="en-GB"/>
        </w:rPr>
        <w:t>in relation to each biodiversity attribute</w:t>
      </w:r>
      <w:r w:rsidR="00D07A66" w:rsidRPr="00D961B9">
        <w:rPr>
          <w:rFonts w:ascii="Calibri" w:hAnsi="Calibri"/>
          <w:sz w:val="24"/>
          <w:szCs w:val="24"/>
          <w:lang w:val="en-GB"/>
        </w:rPr>
        <w:t xml:space="preserve"> (see formula 2)</w:t>
      </w:r>
      <w:r w:rsidR="00C455B8" w:rsidRPr="00D961B9">
        <w:rPr>
          <w:rFonts w:ascii="Calibri" w:hAnsi="Calibri"/>
          <w:sz w:val="24"/>
          <w:szCs w:val="24"/>
          <w:lang w:val="en-GB"/>
        </w:rPr>
        <w:t xml:space="preserve">.  </w:t>
      </w:r>
    </w:p>
    <w:p w14:paraId="46C58766" w14:textId="6FB3D204" w:rsidR="00311E53" w:rsidRPr="00D961B9" w:rsidRDefault="004C2062" w:rsidP="002709A0">
      <w:pPr>
        <w:autoSpaceDE w:val="0"/>
        <w:autoSpaceDN w:val="0"/>
        <w:adjustRightInd w:val="0"/>
        <w:spacing w:line="288" w:lineRule="auto"/>
        <w:rPr>
          <w:rFonts w:ascii="Calibri" w:hAnsi="Calibri"/>
          <w:b/>
          <w:sz w:val="24"/>
          <w:szCs w:val="24"/>
          <w:lang w:val="en-GB"/>
        </w:rPr>
      </w:pPr>
      <w:r w:rsidRPr="00D961B9">
        <w:rPr>
          <w:rFonts w:ascii="Calibri" w:hAnsi="Calibri"/>
          <w:sz w:val="24"/>
          <w:szCs w:val="24"/>
          <w:lang w:val="en-GB"/>
        </w:rPr>
        <w:t xml:space="preserve">The greatest efforts </w:t>
      </w:r>
      <w:r w:rsidR="000A6EDF" w:rsidRPr="00D961B9">
        <w:rPr>
          <w:rFonts w:ascii="Calibri" w:hAnsi="Calibri"/>
          <w:sz w:val="24"/>
          <w:szCs w:val="24"/>
          <w:lang w:val="en-GB"/>
        </w:rPr>
        <w:t xml:space="preserve">to date </w:t>
      </w:r>
      <w:r w:rsidRPr="00D961B9">
        <w:rPr>
          <w:rFonts w:ascii="Calibri" w:hAnsi="Calibri"/>
          <w:sz w:val="24"/>
          <w:szCs w:val="24"/>
          <w:lang w:val="en-GB"/>
        </w:rPr>
        <w:t xml:space="preserve">in developing counterfactuals have been undertaken in the context of carbon offsets, most notably </w:t>
      </w:r>
      <w:r w:rsidR="00C5697C" w:rsidRPr="00D961B9">
        <w:rPr>
          <w:rFonts w:ascii="Calibri" w:hAnsi="Calibri"/>
          <w:sz w:val="24"/>
          <w:szCs w:val="24"/>
          <w:lang w:val="en-GB"/>
        </w:rPr>
        <w:t xml:space="preserve">initiatives for </w:t>
      </w:r>
      <w:r w:rsidR="00CE17DE" w:rsidRPr="00D961B9">
        <w:rPr>
          <w:rFonts w:ascii="Calibri" w:hAnsi="Calibri"/>
          <w:sz w:val="24"/>
          <w:szCs w:val="24"/>
          <w:lang w:val="en-GB"/>
        </w:rPr>
        <w:t>Reducing Emissions from Deforestation and Degradation</w:t>
      </w:r>
      <w:r w:rsidRPr="00D961B9">
        <w:rPr>
          <w:rFonts w:ascii="Calibri" w:hAnsi="Calibri"/>
          <w:sz w:val="24"/>
          <w:szCs w:val="24"/>
          <w:lang w:val="en-GB"/>
        </w:rPr>
        <w:t xml:space="preserve"> (REDD</w:t>
      </w:r>
      <w:r w:rsidR="00CE17DE" w:rsidRPr="00D961B9">
        <w:rPr>
          <w:rFonts w:ascii="Calibri" w:hAnsi="Calibri"/>
          <w:sz w:val="24"/>
          <w:szCs w:val="24"/>
          <w:lang w:val="en-GB"/>
        </w:rPr>
        <w:t>)</w:t>
      </w:r>
      <w:r w:rsidRPr="00D961B9">
        <w:rPr>
          <w:rFonts w:ascii="Calibri" w:hAnsi="Calibri"/>
          <w:sz w:val="24"/>
          <w:szCs w:val="24"/>
          <w:lang w:val="en-GB"/>
        </w:rPr>
        <w:t xml:space="preserve"> </w:t>
      </w:r>
      <w:r w:rsidR="00C5697C" w:rsidRPr="00D961B9">
        <w:rPr>
          <w:rFonts w:ascii="Calibri" w:hAnsi="Calibri"/>
          <w:sz w:val="24"/>
          <w:szCs w:val="24"/>
          <w:lang w:val="en-GB"/>
        </w:rPr>
        <w:t xml:space="preserve">associated with implementation of the UN Framework Convention on Climate Change </w:t>
      </w:r>
      <w:r w:rsidR="002301DF" w:rsidRPr="00D961B9">
        <w:rPr>
          <w:rFonts w:ascii="Calibri" w:hAnsi="Calibri"/>
          <w:sz w:val="24"/>
          <w:szCs w:val="24"/>
          <w:lang w:val="en-GB"/>
        </w:rPr>
        <w:t xml:space="preserve">. </w:t>
      </w:r>
      <w:r w:rsidR="000A6EDF" w:rsidRPr="00D961B9">
        <w:rPr>
          <w:rFonts w:ascii="Calibri" w:hAnsi="Calibri"/>
          <w:sz w:val="24"/>
          <w:szCs w:val="24"/>
          <w:lang w:val="en-GB"/>
        </w:rPr>
        <w:t>M</w:t>
      </w:r>
      <w:r w:rsidRPr="00D961B9">
        <w:rPr>
          <w:rFonts w:ascii="Calibri" w:hAnsi="Calibri"/>
          <w:sz w:val="24"/>
          <w:szCs w:val="24"/>
          <w:lang w:val="en-GB"/>
        </w:rPr>
        <w:t xml:space="preserve">ethodologies </w:t>
      </w:r>
      <w:r w:rsidR="000A6EDF" w:rsidRPr="00D961B9">
        <w:rPr>
          <w:rFonts w:ascii="Calibri" w:hAnsi="Calibri"/>
          <w:sz w:val="24"/>
          <w:szCs w:val="24"/>
          <w:lang w:val="en-GB"/>
        </w:rPr>
        <w:t>ha</w:t>
      </w:r>
      <w:r w:rsidR="00C5697C" w:rsidRPr="00D961B9">
        <w:rPr>
          <w:rFonts w:ascii="Calibri" w:hAnsi="Calibri"/>
          <w:sz w:val="24"/>
          <w:szCs w:val="24"/>
          <w:lang w:val="en-GB"/>
        </w:rPr>
        <w:t>ve</w:t>
      </w:r>
      <w:r w:rsidR="000A6EDF" w:rsidRPr="00D961B9">
        <w:rPr>
          <w:rFonts w:ascii="Calibri" w:hAnsi="Calibri"/>
          <w:sz w:val="24"/>
          <w:szCs w:val="24"/>
          <w:lang w:val="en-GB"/>
        </w:rPr>
        <w:t xml:space="preserve"> been developed </w:t>
      </w:r>
      <w:r w:rsidRPr="00D961B9">
        <w:rPr>
          <w:rFonts w:ascii="Calibri" w:hAnsi="Calibri"/>
          <w:sz w:val="24"/>
          <w:szCs w:val="24"/>
          <w:lang w:val="en-GB"/>
        </w:rPr>
        <w:t xml:space="preserve">for projecting historically observed trends, modelling impacts of independent variables, such as crop prices or population growth, and adjusting </w:t>
      </w:r>
      <w:r w:rsidR="00454AC4" w:rsidRPr="00D961B9">
        <w:rPr>
          <w:rFonts w:ascii="Calibri" w:hAnsi="Calibri"/>
          <w:sz w:val="24"/>
          <w:szCs w:val="24"/>
          <w:lang w:val="en-GB"/>
        </w:rPr>
        <w:t>counterfactual</w:t>
      </w:r>
      <w:r w:rsidRPr="00D961B9">
        <w:rPr>
          <w:rFonts w:ascii="Calibri" w:hAnsi="Calibri"/>
          <w:sz w:val="24"/>
          <w:szCs w:val="24"/>
          <w:lang w:val="en-GB"/>
        </w:rPr>
        <w:t xml:space="preserve"> deforestation rates by comparing them to representative reference regions outside of the reach of project impacts</w:t>
      </w:r>
      <w:r w:rsidR="00426CFA" w:rsidRPr="00D961B9">
        <w:rPr>
          <w:rFonts w:ascii="Calibri" w:hAnsi="Calibri"/>
          <w:sz w:val="24"/>
          <w:szCs w:val="24"/>
          <w:lang w:val="en-GB"/>
        </w:rPr>
        <w:t xml:space="preserve"> </w:t>
      </w:r>
      <w:r w:rsidR="00B07EE8" w:rsidRPr="00D961B9">
        <w:rPr>
          <w:rFonts w:ascii="Calibri" w:hAnsi="Calibri"/>
          <w:sz w:val="24"/>
          <w:szCs w:val="24"/>
          <w:lang w:val="en-GB"/>
        </w:rPr>
        <w:t>(</w:t>
      </w:r>
      <w:r w:rsidR="006C4236" w:rsidRPr="00D961B9">
        <w:rPr>
          <w:rFonts w:ascii="Calibri" w:hAnsi="Calibri"/>
          <w:sz w:val="24"/>
          <w:szCs w:val="24"/>
          <w:lang w:val="en-GB"/>
        </w:rPr>
        <w:t>Huettner et al.</w:t>
      </w:r>
      <w:r w:rsidR="00436CB2" w:rsidRPr="00D961B9">
        <w:rPr>
          <w:rFonts w:ascii="Calibri" w:hAnsi="Calibri"/>
          <w:sz w:val="24"/>
          <w:szCs w:val="24"/>
          <w:lang w:val="en-GB"/>
        </w:rPr>
        <w:t>,</w:t>
      </w:r>
      <w:r w:rsidR="006C4236" w:rsidRPr="00D961B9">
        <w:rPr>
          <w:rFonts w:ascii="Calibri" w:hAnsi="Calibri"/>
          <w:sz w:val="24"/>
          <w:szCs w:val="24"/>
          <w:lang w:val="en-GB"/>
        </w:rPr>
        <w:t xml:space="preserve"> 2009</w:t>
      </w:r>
      <w:r w:rsidR="00B07EE8" w:rsidRPr="00D961B9">
        <w:rPr>
          <w:rFonts w:ascii="Calibri" w:hAnsi="Calibri"/>
          <w:sz w:val="24"/>
          <w:szCs w:val="24"/>
          <w:lang w:val="en-GB"/>
        </w:rPr>
        <w:t>)</w:t>
      </w:r>
      <w:r w:rsidRPr="00D961B9">
        <w:rPr>
          <w:rFonts w:ascii="Calibri" w:hAnsi="Calibri"/>
          <w:sz w:val="24"/>
          <w:szCs w:val="24"/>
          <w:lang w:val="en-GB"/>
        </w:rPr>
        <w:t>.</w:t>
      </w:r>
      <w:r w:rsidR="002301DF" w:rsidRPr="00D961B9">
        <w:rPr>
          <w:rFonts w:ascii="Calibri" w:hAnsi="Calibri"/>
          <w:sz w:val="24"/>
          <w:szCs w:val="24"/>
          <w:lang w:val="en-GB"/>
        </w:rPr>
        <w:t xml:space="preserve"> </w:t>
      </w:r>
    </w:p>
    <w:p w14:paraId="22E822A8" w14:textId="4DFFFCBD" w:rsidR="00C466A1" w:rsidRPr="00D961B9" w:rsidRDefault="006541AB" w:rsidP="00CA6891">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To illustrate the complexity </w:t>
      </w:r>
      <w:r w:rsidR="00632FEC" w:rsidRPr="00D961B9">
        <w:rPr>
          <w:rFonts w:ascii="Calibri" w:hAnsi="Calibri"/>
          <w:sz w:val="24"/>
          <w:szCs w:val="24"/>
          <w:lang w:val="en-GB"/>
        </w:rPr>
        <w:t>and care that is needed with</w:t>
      </w:r>
      <w:r w:rsidRPr="00D961B9">
        <w:rPr>
          <w:rFonts w:ascii="Calibri" w:hAnsi="Calibri"/>
          <w:sz w:val="24"/>
          <w:szCs w:val="24"/>
          <w:lang w:val="en-GB"/>
        </w:rPr>
        <w:t xml:space="preserve"> </w:t>
      </w:r>
      <w:r w:rsidR="00632FEC" w:rsidRPr="00D961B9">
        <w:rPr>
          <w:rFonts w:ascii="Calibri" w:hAnsi="Calibri"/>
          <w:sz w:val="24"/>
          <w:szCs w:val="24"/>
          <w:lang w:val="en-GB"/>
        </w:rPr>
        <w:t>counterfactual</w:t>
      </w:r>
      <w:r w:rsidR="00C5697C" w:rsidRPr="00D961B9">
        <w:rPr>
          <w:rFonts w:ascii="Calibri" w:hAnsi="Calibri"/>
          <w:sz w:val="24"/>
          <w:szCs w:val="24"/>
          <w:lang w:val="en-GB"/>
        </w:rPr>
        <w:t>s</w:t>
      </w:r>
      <w:r w:rsidRPr="00D961B9">
        <w:rPr>
          <w:rFonts w:ascii="Calibri" w:hAnsi="Calibri"/>
          <w:sz w:val="24"/>
          <w:szCs w:val="24"/>
          <w:lang w:val="en-GB"/>
        </w:rPr>
        <w:t xml:space="preserve">, we revisit the </w:t>
      </w:r>
      <w:r w:rsidR="00632FEC" w:rsidRPr="00D961B9">
        <w:rPr>
          <w:rFonts w:ascii="Calibri" w:hAnsi="Calibri"/>
          <w:sz w:val="24"/>
          <w:szCs w:val="24"/>
          <w:lang w:val="en-GB"/>
        </w:rPr>
        <w:t>Rio Tinto</w:t>
      </w:r>
      <w:r w:rsidR="00426CFA" w:rsidRPr="00D961B9">
        <w:rPr>
          <w:rFonts w:ascii="Calibri" w:hAnsi="Calibri"/>
          <w:sz w:val="24"/>
          <w:szCs w:val="24"/>
          <w:lang w:val="en-GB"/>
        </w:rPr>
        <w:t>-QMM project</w:t>
      </w:r>
      <w:r w:rsidR="00632FEC" w:rsidRPr="00D961B9">
        <w:rPr>
          <w:rFonts w:ascii="Calibri" w:hAnsi="Calibri"/>
          <w:sz w:val="24"/>
          <w:szCs w:val="24"/>
          <w:lang w:val="en-GB"/>
        </w:rPr>
        <w:t xml:space="preserve">.  The company </w:t>
      </w:r>
      <w:r w:rsidR="00C466A1" w:rsidRPr="00D961B9">
        <w:rPr>
          <w:rFonts w:ascii="Calibri" w:hAnsi="Calibri"/>
          <w:sz w:val="24"/>
          <w:szCs w:val="24"/>
          <w:lang w:val="en-GB"/>
        </w:rPr>
        <w:t>makes two fundamental assumptions</w:t>
      </w:r>
      <w:r w:rsidR="00311E53" w:rsidRPr="00D961B9">
        <w:rPr>
          <w:rFonts w:ascii="Calibri" w:hAnsi="Calibri"/>
          <w:sz w:val="24"/>
          <w:szCs w:val="24"/>
          <w:lang w:val="en-GB"/>
        </w:rPr>
        <w:t xml:space="preserve">, </w:t>
      </w:r>
      <w:r w:rsidR="00C5697C" w:rsidRPr="00D961B9">
        <w:rPr>
          <w:rFonts w:ascii="Calibri" w:hAnsi="Calibri"/>
          <w:sz w:val="24"/>
          <w:szCs w:val="24"/>
          <w:lang w:val="en-GB"/>
        </w:rPr>
        <w:t xml:space="preserve">as mentioned </w:t>
      </w:r>
      <w:r w:rsidR="00311E53" w:rsidRPr="00D961B9">
        <w:rPr>
          <w:rFonts w:ascii="Calibri" w:hAnsi="Calibri"/>
          <w:sz w:val="24"/>
          <w:szCs w:val="24"/>
          <w:lang w:val="en-GB"/>
        </w:rPr>
        <w:t>above</w:t>
      </w:r>
      <w:r w:rsidR="00C466A1" w:rsidRPr="00D961B9">
        <w:rPr>
          <w:rFonts w:ascii="Calibri" w:hAnsi="Calibri"/>
          <w:sz w:val="24"/>
          <w:szCs w:val="24"/>
          <w:lang w:val="en-GB"/>
        </w:rPr>
        <w:t>: 1</w:t>
      </w:r>
      <w:r w:rsidR="00310DF5" w:rsidRPr="00D961B9">
        <w:rPr>
          <w:rFonts w:ascii="Calibri" w:hAnsi="Calibri"/>
          <w:sz w:val="24"/>
          <w:szCs w:val="24"/>
          <w:lang w:val="en-GB"/>
        </w:rPr>
        <w:t>) the</w:t>
      </w:r>
      <w:r w:rsidR="00C466A1" w:rsidRPr="00D961B9">
        <w:rPr>
          <w:rFonts w:ascii="Calibri" w:hAnsi="Calibri"/>
          <w:sz w:val="24"/>
          <w:szCs w:val="24"/>
          <w:lang w:val="en-GB"/>
        </w:rPr>
        <w:t xml:space="preserve"> vertical structure of the forest represents</w:t>
      </w:r>
      <w:r w:rsidR="00632FEC" w:rsidRPr="00D961B9">
        <w:rPr>
          <w:rFonts w:ascii="Calibri" w:hAnsi="Calibri"/>
          <w:sz w:val="24"/>
          <w:szCs w:val="24"/>
          <w:lang w:val="en-GB"/>
        </w:rPr>
        <w:t xml:space="preserve"> the </w:t>
      </w:r>
      <w:r w:rsidR="00C466A1" w:rsidRPr="00D961B9">
        <w:rPr>
          <w:rFonts w:ascii="Calibri" w:hAnsi="Calibri"/>
          <w:sz w:val="24"/>
          <w:szCs w:val="24"/>
          <w:lang w:val="en-GB"/>
        </w:rPr>
        <w:t xml:space="preserve">overall </w:t>
      </w:r>
      <w:r w:rsidR="00632FEC" w:rsidRPr="00D961B9">
        <w:rPr>
          <w:rFonts w:ascii="Calibri" w:hAnsi="Calibri"/>
          <w:sz w:val="24"/>
          <w:szCs w:val="24"/>
          <w:lang w:val="en-GB"/>
        </w:rPr>
        <w:t xml:space="preserve">biodiversity </w:t>
      </w:r>
      <w:r w:rsidR="00C466A1" w:rsidRPr="00D961B9">
        <w:rPr>
          <w:rFonts w:ascii="Calibri" w:hAnsi="Calibri"/>
          <w:sz w:val="24"/>
          <w:szCs w:val="24"/>
          <w:lang w:val="en-GB"/>
        </w:rPr>
        <w:t>value of the habitat</w:t>
      </w:r>
      <w:r w:rsidR="00632FEC" w:rsidRPr="00D961B9">
        <w:rPr>
          <w:rFonts w:ascii="Calibri" w:hAnsi="Calibri"/>
          <w:sz w:val="24"/>
          <w:szCs w:val="24"/>
          <w:lang w:val="en-GB"/>
        </w:rPr>
        <w:t xml:space="preserve">, </w:t>
      </w:r>
      <w:r w:rsidR="00C466A1" w:rsidRPr="00D961B9">
        <w:rPr>
          <w:rFonts w:ascii="Calibri" w:hAnsi="Calibri"/>
          <w:sz w:val="24"/>
          <w:szCs w:val="24"/>
          <w:lang w:val="en-GB"/>
        </w:rPr>
        <w:t>thus 680 habitat hectares</w:t>
      </w:r>
      <w:r w:rsidR="003D3C4D" w:rsidRPr="00D961B9">
        <w:rPr>
          <w:rFonts w:ascii="Calibri" w:hAnsi="Calibri"/>
          <w:sz w:val="24"/>
          <w:szCs w:val="24"/>
          <w:lang w:val="en-GB"/>
        </w:rPr>
        <w:t xml:space="preserve"> was estimated as the</w:t>
      </w:r>
      <w:r w:rsidR="00C466A1" w:rsidRPr="00D961B9">
        <w:rPr>
          <w:rFonts w:ascii="Calibri" w:hAnsi="Calibri"/>
          <w:sz w:val="24"/>
          <w:szCs w:val="24"/>
          <w:lang w:val="en-GB"/>
        </w:rPr>
        <w:t xml:space="preserve"> unit of biodiversity lost</w:t>
      </w:r>
      <w:r w:rsidR="00C5697C" w:rsidRPr="00D961B9">
        <w:rPr>
          <w:rFonts w:ascii="Calibri" w:hAnsi="Calibri"/>
          <w:sz w:val="24"/>
          <w:szCs w:val="24"/>
          <w:lang w:val="en-GB"/>
        </w:rPr>
        <w:t>;</w:t>
      </w:r>
      <w:r w:rsidR="00811420" w:rsidRPr="00D961B9">
        <w:rPr>
          <w:rFonts w:ascii="Calibri" w:hAnsi="Calibri"/>
          <w:sz w:val="24"/>
          <w:szCs w:val="24"/>
          <w:lang w:val="en-GB"/>
        </w:rPr>
        <w:t xml:space="preserve"> and</w:t>
      </w:r>
      <w:r w:rsidR="00C466A1" w:rsidRPr="00D961B9">
        <w:rPr>
          <w:rFonts w:ascii="Calibri" w:hAnsi="Calibri"/>
          <w:sz w:val="24"/>
          <w:szCs w:val="24"/>
          <w:lang w:val="en-GB"/>
        </w:rPr>
        <w:t xml:space="preserve"> 2) </w:t>
      </w:r>
      <w:r w:rsidR="00632FEC" w:rsidRPr="00D961B9">
        <w:rPr>
          <w:rFonts w:ascii="Calibri" w:hAnsi="Calibri"/>
          <w:sz w:val="24"/>
          <w:szCs w:val="24"/>
          <w:lang w:val="en-GB"/>
        </w:rPr>
        <w:t xml:space="preserve">given on-going deforestation pressures in the region, much of the littoral forest would have been lost. </w:t>
      </w:r>
      <w:r w:rsidR="00311E53" w:rsidRPr="00D961B9">
        <w:rPr>
          <w:rFonts w:ascii="Calibri" w:hAnsi="Calibri"/>
          <w:sz w:val="24"/>
          <w:szCs w:val="24"/>
          <w:lang w:val="en-GB"/>
        </w:rPr>
        <w:t>This assumes</w:t>
      </w:r>
      <w:r w:rsidR="00632FEC" w:rsidRPr="00D961B9">
        <w:rPr>
          <w:rFonts w:ascii="Calibri" w:hAnsi="Calibri"/>
          <w:sz w:val="24"/>
          <w:szCs w:val="24"/>
          <w:lang w:val="en-GB"/>
        </w:rPr>
        <w:t xml:space="preserve"> a conservative national deforestation rate of 0.9% to </w:t>
      </w:r>
      <w:r w:rsidR="00267C28" w:rsidRPr="00D961B9">
        <w:rPr>
          <w:rFonts w:ascii="Calibri" w:hAnsi="Calibri"/>
          <w:sz w:val="24"/>
          <w:szCs w:val="24"/>
          <w:lang w:val="en-GB"/>
        </w:rPr>
        <w:t>est</w:t>
      </w:r>
      <w:r w:rsidR="00311E53" w:rsidRPr="00D961B9">
        <w:rPr>
          <w:rFonts w:ascii="Calibri" w:hAnsi="Calibri"/>
          <w:sz w:val="24"/>
          <w:szCs w:val="24"/>
          <w:lang w:val="en-GB"/>
        </w:rPr>
        <w:t xml:space="preserve">ablish the project’s </w:t>
      </w:r>
      <w:r w:rsidR="00632FEC" w:rsidRPr="00D961B9">
        <w:rPr>
          <w:rFonts w:ascii="Calibri" w:hAnsi="Calibri"/>
          <w:sz w:val="24"/>
          <w:szCs w:val="24"/>
          <w:lang w:val="en-GB"/>
        </w:rPr>
        <w:t xml:space="preserve">actual </w:t>
      </w:r>
      <w:r w:rsidR="00311E53" w:rsidRPr="00D961B9">
        <w:rPr>
          <w:rFonts w:ascii="Calibri" w:hAnsi="Calibri"/>
          <w:sz w:val="24"/>
          <w:szCs w:val="24"/>
          <w:lang w:val="en-GB"/>
        </w:rPr>
        <w:t xml:space="preserve">net </w:t>
      </w:r>
      <w:r w:rsidR="00632FEC" w:rsidRPr="00D961B9">
        <w:rPr>
          <w:rFonts w:ascii="Calibri" w:hAnsi="Calibri"/>
          <w:sz w:val="24"/>
          <w:szCs w:val="24"/>
          <w:lang w:val="en-GB"/>
        </w:rPr>
        <w:t>impact</w:t>
      </w:r>
      <w:r w:rsidR="00426CFA" w:rsidRPr="00D961B9">
        <w:rPr>
          <w:rFonts w:ascii="Calibri" w:hAnsi="Calibri"/>
          <w:sz w:val="24"/>
          <w:szCs w:val="24"/>
          <w:lang w:val="en-GB"/>
        </w:rPr>
        <w:t xml:space="preserve"> (Temple et al.</w:t>
      </w:r>
      <w:r w:rsidR="00436CB2" w:rsidRPr="00D961B9">
        <w:rPr>
          <w:rFonts w:ascii="Calibri" w:hAnsi="Calibri"/>
          <w:sz w:val="24"/>
          <w:szCs w:val="24"/>
          <w:lang w:val="en-GB"/>
        </w:rPr>
        <w:t>,</w:t>
      </w:r>
      <w:r w:rsidR="00426CFA" w:rsidRPr="00D961B9">
        <w:rPr>
          <w:rFonts w:ascii="Calibri" w:hAnsi="Calibri"/>
          <w:sz w:val="24"/>
          <w:szCs w:val="24"/>
          <w:lang w:val="en-GB"/>
        </w:rPr>
        <w:t xml:space="preserve"> 2012)</w:t>
      </w:r>
      <w:r w:rsidR="00632FEC" w:rsidRPr="00D961B9">
        <w:rPr>
          <w:rFonts w:ascii="Calibri" w:hAnsi="Calibri"/>
          <w:sz w:val="24"/>
          <w:szCs w:val="24"/>
          <w:lang w:val="en-GB"/>
        </w:rPr>
        <w:t xml:space="preserve">. </w:t>
      </w:r>
      <w:r w:rsidR="007A2A20" w:rsidRPr="00D961B9">
        <w:rPr>
          <w:rFonts w:ascii="Calibri" w:hAnsi="Calibri"/>
          <w:sz w:val="24"/>
          <w:szCs w:val="24"/>
          <w:lang w:val="en-GB"/>
        </w:rPr>
        <w:t xml:space="preserve">Using such counterfactual scenario means </w:t>
      </w:r>
      <w:r w:rsidR="00311E53" w:rsidRPr="00D961B9">
        <w:rPr>
          <w:rFonts w:ascii="Calibri" w:hAnsi="Calibri"/>
          <w:sz w:val="24"/>
          <w:szCs w:val="24"/>
          <w:lang w:val="en-GB"/>
        </w:rPr>
        <w:t xml:space="preserve">net </w:t>
      </w:r>
      <w:r w:rsidR="00632FEC" w:rsidRPr="00D961B9">
        <w:rPr>
          <w:rFonts w:ascii="Calibri" w:hAnsi="Calibri"/>
          <w:sz w:val="24"/>
          <w:szCs w:val="24"/>
          <w:lang w:val="en-GB"/>
        </w:rPr>
        <w:t>mining impact is reduced to 313 habitat hectare</w:t>
      </w:r>
      <w:r w:rsidR="00C5697C" w:rsidRPr="00D961B9">
        <w:rPr>
          <w:rFonts w:ascii="Calibri" w:hAnsi="Calibri"/>
          <w:sz w:val="24"/>
          <w:szCs w:val="24"/>
          <w:lang w:val="en-GB"/>
        </w:rPr>
        <w:t>s</w:t>
      </w:r>
      <w:r w:rsidR="00632FEC" w:rsidRPr="00D961B9">
        <w:rPr>
          <w:rFonts w:ascii="Calibri" w:hAnsi="Calibri"/>
          <w:sz w:val="24"/>
          <w:szCs w:val="24"/>
          <w:lang w:val="en-GB"/>
        </w:rPr>
        <w:t xml:space="preserve"> loss </w:t>
      </w:r>
      <w:r w:rsidR="00311E53" w:rsidRPr="00D961B9">
        <w:rPr>
          <w:rFonts w:ascii="Calibri" w:hAnsi="Calibri"/>
          <w:sz w:val="24"/>
          <w:szCs w:val="24"/>
          <w:lang w:val="en-GB"/>
        </w:rPr>
        <w:t>over</w:t>
      </w:r>
      <w:r w:rsidR="00632FEC" w:rsidRPr="00D961B9">
        <w:rPr>
          <w:rFonts w:ascii="Calibri" w:hAnsi="Calibri"/>
          <w:sz w:val="24"/>
          <w:szCs w:val="24"/>
          <w:lang w:val="en-GB"/>
        </w:rPr>
        <w:t xml:space="preserve"> 60 years of mining operations</w:t>
      </w:r>
      <w:r w:rsidR="001C50A9" w:rsidRPr="00D961B9">
        <w:rPr>
          <w:rFonts w:ascii="Calibri" w:hAnsi="Calibri"/>
          <w:sz w:val="24"/>
          <w:szCs w:val="24"/>
          <w:lang w:val="en-GB"/>
        </w:rPr>
        <w:t xml:space="preserve"> (Figure </w:t>
      </w:r>
      <w:r w:rsidR="006B0A24" w:rsidRPr="00D961B9">
        <w:rPr>
          <w:rFonts w:ascii="Calibri" w:hAnsi="Calibri"/>
          <w:sz w:val="24"/>
          <w:szCs w:val="24"/>
          <w:lang w:val="en-GB"/>
        </w:rPr>
        <w:t>A.</w:t>
      </w:r>
      <w:r w:rsidR="00771574" w:rsidRPr="00D961B9">
        <w:rPr>
          <w:rFonts w:ascii="Calibri" w:hAnsi="Calibri"/>
          <w:sz w:val="24"/>
          <w:szCs w:val="24"/>
          <w:lang w:val="en-GB"/>
        </w:rPr>
        <w:t>2</w:t>
      </w:r>
      <w:r w:rsidR="001C50A9" w:rsidRPr="00D961B9">
        <w:rPr>
          <w:rFonts w:ascii="Calibri" w:hAnsi="Calibri"/>
          <w:sz w:val="24"/>
          <w:szCs w:val="24"/>
          <w:lang w:val="en-GB"/>
        </w:rPr>
        <w:t>a)</w:t>
      </w:r>
      <w:r w:rsidR="00811420" w:rsidRPr="00D961B9">
        <w:rPr>
          <w:rFonts w:ascii="Calibri" w:hAnsi="Calibri"/>
          <w:sz w:val="24"/>
          <w:szCs w:val="24"/>
          <w:lang w:val="en-GB"/>
        </w:rPr>
        <w:t>.</w:t>
      </w:r>
      <w:r w:rsidR="001C50A9" w:rsidRPr="00D961B9">
        <w:rPr>
          <w:rFonts w:ascii="Calibri" w:hAnsi="Calibri"/>
          <w:sz w:val="24"/>
          <w:szCs w:val="24"/>
          <w:lang w:val="en-GB"/>
        </w:rPr>
        <w:t xml:space="preserve"> </w:t>
      </w:r>
      <w:r w:rsidR="00267C28" w:rsidRPr="00D961B9">
        <w:rPr>
          <w:rFonts w:ascii="Calibri" w:hAnsi="Calibri"/>
          <w:sz w:val="24"/>
          <w:szCs w:val="24"/>
          <w:lang w:val="en-GB"/>
        </w:rPr>
        <w:t>Therefore</w:t>
      </w:r>
      <w:r w:rsidR="00632FEC" w:rsidRPr="00D961B9">
        <w:rPr>
          <w:rFonts w:ascii="Calibri" w:hAnsi="Calibri"/>
          <w:sz w:val="24"/>
          <w:szCs w:val="24"/>
          <w:lang w:val="en-GB"/>
        </w:rPr>
        <w:t xml:space="preserve">, depending on the biodiversity attribute and the counterfactual used, the amount to compensate can </w:t>
      </w:r>
      <w:r w:rsidR="00C466A1" w:rsidRPr="00D961B9">
        <w:rPr>
          <w:rFonts w:ascii="Calibri" w:hAnsi="Calibri"/>
          <w:sz w:val="24"/>
          <w:szCs w:val="24"/>
          <w:lang w:val="en-GB"/>
        </w:rPr>
        <w:t>vary</w:t>
      </w:r>
      <w:r w:rsidR="00632FEC" w:rsidRPr="00D961B9">
        <w:rPr>
          <w:rFonts w:ascii="Calibri" w:hAnsi="Calibri"/>
          <w:sz w:val="24"/>
          <w:szCs w:val="24"/>
          <w:lang w:val="en-GB"/>
        </w:rPr>
        <w:t xml:space="preserve"> from </w:t>
      </w:r>
      <w:r w:rsidR="001C50A9" w:rsidRPr="00D961B9">
        <w:rPr>
          <w:rFonts w:ascii="Calibri" w:hAnsi="Calibri"/>
          <w:sz w:val="24"/>
          <w:szCs w:val="24"/>
          <w:lang w:val="en-GB"/>
        </w:rPr>
        <w:t>nil (at a predicted rate of 4% background deforestation</w:t>
      </w:r>
      <w:r w:rsidR="00F4327F" w:rsidRPr="00D961B9">
        <w:rPr>
          <w:rFonts w:ascii="Calibri" w:hAnsi="Calibri"/>
          <w:sz w:val="24"/>
          <w:szCs w:val="24"/>
          <w:lang w:val="en-GB"/>
        </w:rPr>
        <w:t xml:space="preserve"> using any of the biodiversity attribute</w:t>
      </w:r>
      <w:r w:rsidR="00FE42A3" w:rsidRPr="00D961B9">
        <w:rPr>
          <w:rFonts w:ascii="Calibri" w:hAnsi="Calibri"/>
          <w:sz w:val="24"/>
          <w:szCs w:val="24"/>
          <w:lang w:val="en-GB"/>
        </w:rPr>
        <w:t>s</w:t>
      </w:r>
      <w:r w:rsidR="001C50A9" w:rsidRPr="00D961B9">
        <w:rPr>
          <w:rFonts w:ascii="Calibri" w:hAnsi="Calibri"/>
          <w:sz w:val="24"/>
          <w:szCs w:val="24"/>
          <w:lang w:val="en-GB"/>
        </w:rPr>
        <w:t xml:space="preserve">) </w:t>
      </w:r>
      <w:r w:rsidR="00311E53" w:rsidRPr="00D961B9">
        <w:rPr>
          <w:rFonts w:ascii="Calibri" w:hAnsi="Calibri"/>
          <w:sz w:val="24"/>
          <w:szCs w:val="24"/>
          <w:lang w:val="en-GB"/>
        </w:rPr>
        <w:t xml:space="preserve">to </w:t>
      </w:r>
      <w:r w:rsidR="00632FEC" w:rsidRPr="00D961B9">
        <w:rPr>
          <w:rFonts w:ascii="Calibri" w:hAnsi="Calibri"/>
          <w:sz w:val="24"/>
          <w:szCs w:val="24"/>
          <w:lang w:val="en-GB"/>
        </w:rPr>
        <w:t>1500 habitat hectare</w:t>
      </w:r>
      <w:r w:rsidR="00311E53" w:rsidRPr="00D961B9">
        <w:rPr>
          <w:rFonts w:ascii="Calibri" w:hAnsi="Calibri"/>
          <w:sz w:val="24"/>
          <w:szCs w:val="24"/>
          <w:lang w:val="en-GB"/>
        </w:rPr>
        <w:t>s</w:t>
      </w:r>
      <w:r w:rsidR="00632FEC" w:rsidRPr="00D961B9">
        <w:rPr>
          <w:rFonts w:ascii="Calibri" w:hAnsi="Calibri"/>
          <w:sz w:val="24"/>
          <w:szCs w:val="24"/>
          <w:lang w:val="en-GB"/>
        </w:rPr>
        <w:t xml:space="preserve"> </w:t>
      </w:r>
      <w:r w:rsidR="001C50A9" w:rsidRPr="00D961B9">
        <w:rPr>
          <w:rFonts w:ascii="Calibri" w:hAnsi="Calibri"/>
          <w:sz w:val="24"/>
          <w:szCs w:val="24"/>
          <w:lang w:val="en-GB"/>
        </w:rPr>
        <w:t xml:space="preserve">(at a predicted rate of </w:t>
      </w:r>
      <w:r w:rsidR="00D07A66" w:rsidRPr="00D961B9">
        <w:rPr>
          <w:rFonts w:ascii="Calibri" w:hAnsi="Calibri"/>
          <w:sz w:val="24"/>
          <w:szCs w:val="24"/>
          <w:lang w:val="en-GB"/>
        </w:rPr>
        <w:t>zero</w:t>
      </w:r>
      <w:r w:rsidR="001C50A9" w:rsidRPr="00D961B9">
        <w:rPr>
          <w:rFonts w:ascii="Calibri" w:hAnsi="Calibri"/>
          <w:sz w:val="24"/>
          <w:szCs w:val="24"/>
          <w:lang w:val="en-GB"/>
        </w:rPr>
        <w:t xml:space="preserve"> background deforestation</w:t>
      </w:r>
      <w:r w:rsidR="00F4327F" w:rsidRPr="00D961B9">
        <w:rPr>
          <w:rFonts w:ascii="Calibri" w:hAnsi="Calibri"/>
          <w:sz w:val="24"/>
          <w:szCs w:val="24"/>
          <w:lang w:val="en-GB"/>
        </w:rPr>
        <w:t xml:space="preserve"> for plant diversity as the biodiversity attribute</w:t>
      </w:r>
      <w:r w:rsidR="001C50A9" w:rsidRPr="00D961B9">
        <w:rPr>
          <w:rFonts w:ascii="Calibri" w:hAnsi="Calibri"/>
          <w:sz w:val="24"/>
          <w:szCs w:val="24"/>
          <w:lang w:val="en-GB"/>
        </w:rPr>
        <w:t xml:space="preserve">) </w:t>
      </w:r>
      <w:r w:rsidR="00632FEC" w:rsidRPr="00D961B9">
        <w:rPr>
          <w:rFonts w:ascii="Calibri" w:hAnsi="Calibri"/>
          <w:sz w:val="24"/>
          <w:szCs w:val="24"/>
          <w:lang w:val="en-GB"/>
        </w:rPr>
        <w:t xml:space="preserve">(Figure </w:t>
      </w:r>
      <w:r w:rsidR="00771574" w:rsidRPr="00D961B9">
        <w:rPr>
          <w:rFonts w:ascii="Calibri" w:hAnsi="Calibri"/>
          <w:sz w:val="24"/>
          <w:szCs w:val="24"/>
          <w:lang w:val="en-GB"/>
        </w:rPr>
        <w:t>A.2</w:t>
      </w:r>
      <w:r w:rsidR="00632FEC" w:rsidRPr="00D961B9">
        <w:rPr>
          <w:rFonts w:ascii="Calibri" w:hAnsi="Calibri"/>
          <w:sz w:val="24"/>
          <w:szCs w:val="24"/>
          <w:lang w:val="en-GB"/>
        </w:rPr>
        <w:t xml:space="preserve">a). </w:t>
      </w:r>
    </w:p>
    <w:p w14:paraId="3E864F43" w14:textId="77777777" w:rsidR="00C466A1" w:rsidRPr="00D961B9" w:rsidRDefault="00C466A1" w:rsidP="00CA6891">
      <w:pPr>
        <w:autoSpaceDE w:val="0"/>
        <w:autoSpaceDN w:val="0"/>
        <w:adjustRightInd w:val="0"/>
        <w:spacing w:after="0" w:line="288" w:lineRule="auto"/>
        <w:rPr>
          <w:rFonts w:ascii="Calibri" w:hAnsi="Calibri"/>
          <w:sz w:val="24"/>
          <w:szCs w:val="24"/>
          <w:lang w:val="en-GB"/>
        </w:rPr>
      </w:pPr>
    </w:p>
    <w:p w14:paraId="419B9B13" w14:textId="4D46B454" w:rsidR="001C50A9" w:rsidRPr="00D961B9" w:rsidRDefault="00F4327F" w:rsidP="001C50A9">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Thus, counterfactual scenario</w:t>
      </w:r>
      <w:r w:rsidR="00FE42A3" w:rsidRPr="00D961B9">
        <w:rPr>
          <w:rFonts w:ascii="Calibri" w:hAnsi="Calibri"/>
          <w:sz w:val="24"/>
          <w:szCs w:val="24"/>
          <w:lang w:val="en-GB"/>
        </w:rPr>
        <w:t xml:space="preserve"> selection</w:t>
      </w:r>
      <w:r w:rsidRPr="00D961B9">
        <w:rPr>
          <w:rFonts w:ascii="Calibri" w:hAnsi="Calibri"/>
          <w:sz w:val="24"/>
          <w:szCs w:val="24"/>
          <w:lang w:val="en-GB"/>
        </w:rPr>
        <w:t xml:space="preserve"> </w:t>
      </w:r>
      <w:r w:rsidR="00FE42A3" w:rsidRPr="00D961B9">
        <w:rPr>
          <w:rFonts w:ascii="Calibri" w:hAnsi="Calibri"/>
          <w:sz w:val="24"/>
          <w:szCs w:val="24"/>
          <w:lang w:val="en-GB"/>
        </w:rPr>
        <w:t>is of</w:t>
      </w:r>
      <w:r w:rsidRPr="00D961B9">
        <w:rPr>
          <w:rFonts w:ascii="Calibri" w:hAnsi="Calibri"/>
          <w:sz w:val="24"/>
          <w:szCs w:val="24"/>
          <w:lang w:val="en-GB"/>
        </w:rPr>
        <w:t xml:space="preserve"> central importance i</w:t>
      </w:r>
      <w:r w:rsidR="00FE42A3" w:rsidRPr="00D961B9">
        <w:rPr>
          <w:rFonts w:ascii="Calibri" w:hAnsi="Calibri"/>
          <w:sz w:val="24"/>
          <w:szCs w:val="24"/>
          <w:lang w:val="en-GB"/>
        </w:rPr>
        <w:t>n</w:t>
      </w:r>
      <w:r w:rsidRPr="00D961B9">
        <w:rPr>
          <w:rFonts w:ascii="Calibri" w:hAnsi="Calibri"/>
          <w:sz w:val="24"/>
          <w:szCs w:val="24"/>
          <w:lang w:val="en-GB"/>
        </w:rPr>
        <w:t xml:space="preserve"> estimating impacts. </w:t>
      </w:r>
      <w:r w:rsidR="001C50A9" w:rsidRPr="00D961B9">
        <w:rPr>
          <w:rFonts w:ascii="Calibri" w:hAnsi="Calibri"/>
          <w:sz w:val="24"/>
          <w:szCs w:val="24"/>
          <w:lang w:val="en-GB"/>
        </w:rPr>
        <w:t xml:space="preserve"> </w:t>
      </w:r>
      <w:r w:rsidRPr="00D961B9">
        <w:rPr>
          <w:rFonts w:ascii="Calibri" w:hAnsi="Calibri"/>
          <w:sz w:val="24"/>
          <w:szCs w:val="24"/>
          <w:lang w:val="en-GB"/>
        </w:rPr>
        <w:t xml:space="preserve">In the </w:t>
      </w:r>
      <w:r w:rsidR="00FE42A3" w:rsidRPr="00D961B9">
        <w:rPr>
          <w:rFonts w:ascii="Calibri" w:hAnsi="Calibri"/>
          <w:sz w:val="24"/>
          <w:szCs w:val="24"/>
          <w:lang w:val="en-GB"/>
        </w:rPr>
        <w:t>R</w:t>
      </w:r>
      <w:r w:rsidRPr="00D961B9">
        <w:rPr>
          <w:rFonts w:ascii="Calibri" w:hAnsi="Calibri"/>
          <w:sz w:val="24"/>
          <w:szCs w:val="24"/>
          <w:lang w:val="en-GB"/>
        </w:rPr>
        <w:t xml:space="preserve">io Tinto–QMM case, the </w:t>
      </w:r>
      <w:r w:rsidR="001C50A9" w:rsidRPr="00D961B9">
        <w:rPr>
          <w:rFonts w:ascii="Calibri" w:hAnsi="Calibri"/>
          <w:sz w:val="24"/>
          <w:szCs w:val="24"/>
          <w:lang w:val="en-GB"/>
        </w:rPr>
        <w:t xml:space="preserve">evidence </w:t>
      </w:r>
      <w:r w:rsidRPr="00D961B9">
        <w:rPr>
          <w:rFonts w:ascii="Calibri" w:hAnsi="Calibri"/>
          <w:sz w:val="24"/>
          <w:szCs w:val="24"/>
          <w:lang w:val="en-GB"/>
        </w:rPr>
        <w:t xml:space="preserve">also </w:t>
      </w:r>
      <w:r w:rsidR="001C50A9" w:rsidRPr="00D961B9">
        <w:rPr>
          <w:rFonts w:ascii="Calibri" w:hAnsi="Calibri"/>
          <w:sz w:val="24"/>
          <w:szCs w:val="24"/>
          <w:lang w:val="en-GB"/>
        </w:rPr>
        <w:t xml:space="preserve">suggests a more complex picture. Prior to the planning of mining activities, a relatively stable communal property regime and other conditions enabled a sustainable use and management of the common-property forests </w:t>
      </w:r>
      <w:r w:rsidR="00FE42A3" w:rsidRPr="00D961B9">
        <w:rPr>
          <w:rFonts w:ascii="Calibri" w:hAnsi="Calibri"/>
          <w:sz w:val="24"/>
          <w:szCs w:val="24"/>
          <w:lang w:val="en-GB"/>
        </w:rPr>
        <w:t xml:space="preserve">in the area </w:t>
      </w:r>
      <w:r w:rsidR="001C50A9" w:rsidRPr="00D961B9">
        <w:rPr>
          <w:rFonts w:ascii="Calibri" w:hAnsi="Calibri"/>
          <w:sz w:val="24"/>
          <w:szCs w:val="24"/>
          <w:lang w:val="en-GB"/>
        </w:rPr>
        <w:t xml:space="preserve">for many centuries (Virah-Sawmy </w:t>
      </w:r>
      <w:r w:rsidR="005A678C" w:rsidRPr="00D961B9">
        <w:rPr>
          <w:rFonts w:ascii="Calibri" w:hAnsi="Calibri"/>
          <w:sz w:val="24"/>
          <w:szCs w:val="24"/>
          <w:lang w:val="en-GB"/>
        </w:rPr>
        <w:t>et al.</w:t>
      </w:r>
      <w:r w:rsidR="00436CB2" w:rsidRPr="00D961B9">
        <w:rPr>
          <w:rFonts w:ascii="Calibri" w:hAnsi="Calibri"/>
          <w:sz w:val="24"/>
          <w:szCs w:val="24"/>
          <w:lang w:val="en-GB"/>
        </w:rPr>
        <w:t>,</w:t>
      </w:r>
      <w:r w:rsidR="005A678C" w:rsidRPr="00D961B9">
        <w:rPr>
          <w:rFonts w:ascii="Calibri" w:hAnsi="Calibri"/>
          <w:sz w:val="24"/>
          <w:szCs w:val="24"/>
          <w:lang w:val="en-GB"/>
        </w:rPr>
        <w:t xml:space="preserve"> </w:t>
      </w:r>
      <w:r w:rsidR="001C50A9" w:rsidRPr="00D961B9">
        <w:rPr>
          <w:rFonts w:ascii="Calibri" w:hAnsi="Calibri"/>
          <w:sz w:val="24"/>
          <w:szCs w:val="24"/>
          <w:lang w:val="en-GB"/>
        </w:rPr>
        <w:t>2009). However, preparation for mining</w:t>
      </w:r>
      <w:r w:rsidR="00FE42A3" w:rsidRPr="00D961B9">
        <w:rPr>
          <w:rFonts w:ascii="Calibri" w:hAnsi="Calibri"/>
          <w:sz w:val="24"/>
          <w:szCs w:val="24"/>
          <w:lang w:val="en-GB"/>
        </w:rPr>
        <w:t xml:space="preserve"> development</w:t>
      </w:r>
      <w:r w:rsidR="001C50A9" w:rsidRPr="00D961B9">
        <w:rPr>
          <w:rFonts w:ascii="Calibri" w:hAnsi="Calibri"/>
          <w:sz w:val="24"/>
          <w:szCs w:val="24"/>
          <w:lang w:val="en-GB"/>
        </w:rPr>
        <w:t xml:space="preserve"> in the region, including the building of roads, since the 1990s may have altered property rights regimes and attracted migrants </w:t>
      </w:r>
      <w:r w:rsidR="001C50A9" w:rsidRPr="00D961B9">
        <w:rPr>
          <w:rFonts w:ascii="Calibri" w:hAnsi="Calibri"/>
          <w:sz w:val="24"/>
          <w:szCs w:val="24"/>
          <w:lang w:val="en-GB"/>
        </w:rPr>
        <w:fldChar w:fldCharType="begin" w:fldLock="1"/>
      </w:r>
      <w:r w:rsidR="001C50A9" w:rsidRPr="00D961B9">
        <w:rPr>
          <w:rFonts w:ascii="Calibri" w:hAnsi="Calibri"/>
          <w:sz w:val="24"/>
          <w:szCs w:val="24"/>
          <w:lang w:val="en-GB"/>
        </w:rPr>
        <w:instrText>ADDIN CSL_CITATION { "citationItems" : [ { "id" : "ITEM-1", "itemData" : { "author" : [ { "dropping-particle" : "", "family" : "Ingram", "given" : "Jane C", "non-dropping-particle" : "", "parse-names" : false, "suffix" : "" }, { "dropping-particle" : "", "family" : "Dawson", "given" : "Terence P", "non-dropping-particle" : "", "parse-names" : false, "suffix" : "" } ], "container-title" : "Conservation and Society", "id" : "ITEM-1", "issue" : "2", "issued" : { "date-parts" : [ [ "2006" ] ] }, "page" : "194-230", "title" : "Forest Cover , Condition , and Ecology in Human- Impacted Forests , South-Eastern Madagascar", "type" : "article-journal", "volume" : "4" }, "uris" : [ "http://www.mendeley.com/documents/?uuid=5c43cbf3-0331-4471-9460-18a69780bd0c" ] } ], "mendeley" : { "manualFormatting" : "(Ingram &amp; Dawson 2006)", "previouslyFormattedCitation" : "(Ingram &amp; Dawson 2006)" }, "properties" : { "noteIndex" : 0 }, "schema" : "https://github.com/citation-style-language/schema/raw/master/csl-citation.json" }</w:instrText>
      </w:r>
      <w:r w:rsidR="001C50A9" w:rsidRPr="00D961B9">
        <w:rPr>
          <w:rFonts w:ascii="Calibri" w:hAnsi="Calibri"/>
          <w:sz w:val="24"/>
          <w:szCs w:val="24"/>
          <w:lang w:val="en-GB"/>
        </w:rPr>
        <w:fldChar w:fldCharType="separate"/>
      </w:r>
      <w:r w:rsidR="001C50A9" w:rsidRPr="00D961B9">
        <w:rPr>
          <w:rFonts w:ascii="Calibri" w:hAnsi="Calibri"/>
          <w:noProof/>
          <w:sz w:val="24"/>
          <w:szCs w:val="24"/>
          <w:lang w:val="en-GB"/>
        </w:rPr>
        <w:t xml:space="preserve">(Ingram </w:t>
      </w:r>
      <w:r w:rsidR="00436CB2" w:rsidRPr="00D961B9">
        <w:rPr>
          <w:rFonts w:ascii="Calibri" w:hAnsi="Calibri"/>
          <w:noProof/>
          <w:sz w:val="24"/>
          <w:szCs w:val="24"/>
          <w:lang w:val="en-GB"/>
        </w:rPr>
        <w:t>and</w:t>
      </w:r>
      <w:r w:rsidR="001C50A9" w:rsidRPr="00D961B9">
        <w:rPr>
          <w:rFonts w:ascii="Calibri" w:hAnsi="Calibri"/>
          <w:noProof/>
          <w:sz w:val="24"/>
          <w:szCs w:val="24"/>
          <w:lang w:val="en-GB"/>
        </w:rPr>
        <w:t xml:space="preserve"> Dawson</w:t>
      </w:r>
      <w:r w:rsidR="00436CB2" w:rsidRPr="00D961B9">
        <w:rPr>
          <w:rFonts w:ascii="Calibri" w:hAnsi="Calibri"/>
          <w:noProof/>
          <w:sz w:val="24"/>
          <w:szCs w:val="24"/>
          <w:lang w:val="en-GB"/>
        </w:rPr>
        <w:t>,</w:t>
      </w:r>
      <w:r w:rsidR="001C50A9" w:rsidRPr="00D961B9">
        <w:rPr>
          <w:rFonts w:ascii="Calibri" w:hAnsi="Calibri"/>
          <w:noProof/>
          <w:sz w:val="24"/>
          <w:szCs w:val="24"/>
          <w:lang w:val="en-GB"/>
        </w:rPr>
        <w:t xml:space="preserve"> 2006)</w:t>
      </w:r>
      <w:r w:rsidR="001C50A9" w:rsidRPr="00D961B9">
        <w:rPr>
          <w:rFonts w:ascii="Calibri" w:hAnsi="Calibri"/>
          <w:sz w:val="24"/>
          <w:szCs w:val="24"/>
          <w:lang w:val="en-GB"/>
        </w:rPr>
        <w:fldChar w:fldCharType="end"/>
      </w:r>
      <w:r w:rsidR="001C50A9" w:rsidRPr="00D961B9">
        <w:rPr>
          <w:rFonts w:ascii="Calibri" w:hAnsi="Calibri"/>
          <w:sz w:val="24"/>
          <w:szCs w:val="24"/>
          <w:lang w:val="en-GB"/>
        </w:rPr>
        <w:t xml:space="preserve">. Newly arrived </w:t>
      </w:r>
      <w:r w:rsidR="00436CB2" w:rsidRPr="00D961B9">
        <w:rPr>
          <w:rFonts w:ascii="Calibri" w:hAnsi="Calibri"/>
          <w:sz w:val="24"/>
          <w:szCs w:val="24"/>
          <w:lang w:val="en-GB"/>
        </w:rPr>
        <w:t>migrants</w:t>
      </w:r>
      <w:r w:rsidR="001C50A9" w:rsidRPr="00D961B9">
        <w:rPr>
          <w:rFonts w:ascii="Calibri" w:hAnsi="Calibri"/>
          <w:sz w:val="24"/>
          <w:szCs w:val="24"/>
          <w:lang w:val="en-GB"/>
        </w:rPr>
        <w:t xml:space="preserve"> are known, in fact, to be responsible for a large part of the recent deforestation observed</w:t>
      </w:r>
      <w:r w:rsidR="00FE42A3" w:rsidRPr="00D961B9">
        <w:rPr>
          <w:rFonts w:ascii="Calibri" w:hAnsi="Calibri"/>
          <w:sz w:val="24"/>
          <w:szCs w:val="24"/>
          <w:lang w:val="en-GB"/>
        </w:rPr>
        <w:t xml:space="preserve"> in the area</w:t>
      </w:r>
      <w:r w:rsidR="001C50A9" w:rsidRPr="00D961B9">
        <w:rPr>
          <w:rFonts w:ascii="Calibri" w:hAnsi="Calibri"/>
          <w:sz w:val="24"/>
          <w:szCs w:val="24"/>
          <w:lang w:val="en-GB"/>
        </w:rPr>
        <w:t xml:space="preserve"> </w:t>
      </w:r>
      <w:r w:rsidR="001C50A9" w:rsidRPr="00D961B9">
        <w:rPr>
          <w:rFonts w:ascii="Calibri" w:hAnsi="Calibri"/>
          <w:sz w:val="24"/>
          <w:szCs w:val="24"/>
          <w:lang w:val="en-GB"/>
        </w:rPr>
        <w:fldChar w:fldCharType="begin" w:fldLock="1"/>
      </w:r>
      <w:r w:rsidR="001C50A9" w:rsidRPr="00D961B9">
        <w:rPr>
          <w:rFonts w:ascii="Calibri" w:hAnsi="Calibri"/>
          <w:sz w:val="24"/>
          <w:szCs w:val="24"/>
          <w:lang w:val="en-GB"/>
        </w:rPr>
        <w:instrText>ADDIN CSL_CITATION { "citationItems" : [ { "id" : "ITEM-1", "itemData" : { "author" : [ { "dropping-particle" : "", "family" : "Ingram", "given" : "Jane C", "non-dropping-particle" : "", "parse-names" : false, "suffix" : "" }, { "dropping-particle" : "", "family" : "Dawson", "given" : "Terence P", "non-dropping-particle" : "", "parse-names" : false, "suffix" : "" } ], "container-title" : "Conservation and Society", "id" : "ITEM-1", "issue" : "2", "issued" : { "date-parts" : [ [ "2006" ] ] }, "page" : "194-230", "title" : "Forest Cover , Condition , and Ecology in Human- Impacted Forests , South-Eastern Madagascar", "type" : "article-journal", "volume" : "4" }, "uris" : [ "http://www.mendeley.com/documents/?uuid=5c43cbf3-0331-4471-9460-18a69780bd0c" ] } ], "mendeley" : { "manualFormatting" : "(Ingram &amp; Dawson 2006)", "previouslyFormattedCitation" : "(Ingram &amp; Dawson 2006)" }, "properties" : { "noteIndex" : 0 }, "schema" : "https://github.com/citation-style-language/schema/raw/master/csl-citation.json" }</w:instrText>
      </w:r>
      <w:r w:rsidR="001C50A9" w:rsidRPr="00D961B9">
        <w:rPr>
          <w:rFonts w:ascii="Calibri" w:hAnsi="Calibri"/>
          <w:sz w:val="24"/>
          <w:szCs w:val="24"/>
          <w:lang w:val="en-GB"/>
        </w:rPr>
        <w:fldChar w:fldCharType="separate"/>
      </w:r>
      <w:r w:rsidR="001C50A9" w:rsidRPr="00D961B9">
        <w:rPr>
          <w:rFonts w:ascii="Calibri" w:hAnsi="Calibri"/>
          <w:noProof/>
          <w:sz w:val="24"/>
          <w:szCs w:val="24"/>
          <w:lang w:val="en-GB"/>
        </w:rPr>
        <w:t xml:space="preserve">(Ingram </w:t>
      </w:r>
      <w:r w:rsidR="00436CB2" w:rsidRPr="00D961B9">
        <w:rPr>
          <w:rFonts w:ascii="Calibri" w:hAnsi="Calibri"/>
          <w:noProof/>
          <w:sz w:val="24"/>
          <w:szCs w:val="24"/>
          <w:lang w:val="en-GB"/>
        </w:rPr>
        <w:t>and</w:t>
      </w:r>
      <w:r w:rsidR="001C50A9" w:rsidRPr="00D961B9">
        <w:rPr>
          <w:rFonts w:ascii="Calibri" w:hAnsi="Calibri"/>
          <w:noProof/>
          <w:sz w:val="24"/>
          <w:szCs w:val="24"/>
          <w:lang w:val="en-GB"/>
        </w:rPr>
        <w:t xml:space="preserve"> Dawson</w:t>
      </w:r>
      <w:r w:rsidR="00436CB2" w:rsidRPr="00D961B9">
        <w:rPr>
          <w:rFonts w:ascii="Calibri" w:hAnsi="Calibri"/>
          <w:noProof/>
          <w:sz w:val="24"/>
          <w:szCs w:val="24"/>
          <w:lang w:val="en-GB"/>
        </w:rPr>
        <w:t>,</w:t>
      </w:r>
      <w:r w:rsidR="001C50A9" w:rsidRPr="00D961B9">
        <w:rPr>
          <w:rFonts w:ascii="Calibri" w:hAnsi="Calibri"/>
          <w:noProof/>
          <w:sz w:val="24"/>
          <w:szCs w:val="24"/>
          <w:lang w:val="en-GB"/>
        </w:rPr>
        <w:t xml:space="preserve"> 2006)</w:t>
      </w:r>
      <w:r w:rsidR="001C50A9" w:rsidRPr="00D961B9">
        <w:rPr>
          <w:rFonts w:ascii="Calibri" w:hAnsi="Calibri"/>
          <w:sz w:val="24"/>
          <w:szCs w:val="24"/>
          <w:lang w:val="en-GB"/>
        </w:rPr>
        <w:fldChar w:fldCharType="end"/>
      </w:r>
      <w:r w:rsidR="001C50A9" w:rsidRPr="00D961B9">
        <w:rPr>
          <w:rFonts w:ascii="Calibri" w:hAnsi="Calibri"/>
          <w:sz w:val="24"/>
          <w:szCs w:val="24"/>
          <w:lang w:val="en-GB"/>
        </w:rPr>
        <w:t xml:space="preserve">.  Accordingly, the deforestation rates for the three mining sites within the littoral forests jumped from 0.3% between 1984 to 1999, to a combined 3.3% between 1999 and 2005 </w:t>
      </w:r>
      <w:r w:rsidR="001C50A9" w:rsidRPr="00D961B9">
        <w:rPr>
          <w:rFonts w:ascii="Calibri" w:hAnsi="Calibri"/>
          <w:sz w:val="24"/>
          <w:szCs w:val="24"/>
          <w:lang w:val="en-GB"/>
        </w:rPr>
        <w:fldChar w:fldCharType="begin" w:fldLock="1"/>
      </w:r>
      <w:r w:rsidR="001C50A9" w:rsidRPr="00D961B9">
        <w:rPr>
          <w:rFonts w:ascii="Calibri" w:hAnsi="Calibri"/>
          <w:sz w:val="24"/>
          <w:szCs w:val="24"/>
          <w:lang w:val="en-GB"/>
        </w:rPr>
        <w:instrText>ADDIN CSL_CITATION { "citationItems" : [ { "id" : "ITEM-1", "itemData" : { "author" : [ { "dropping-particle" : "", "family" : "Ingram", "given" : "Jane C", "non-dropping-particle" : "", "parse-names" : false, "suffix" : "" }, { "dropping-particle" : "", "family" : "Dawson", "given" : "Terence P", "non-dropping-particle" : "", "parse-names" : false, "suffix" : "" } ], "container-title" : "Conservation and Society", "id" : "ITEM-1", "issue" : "2", "issued" : { "date-parts" : [ [ "2006" ] ] }, "page" : "194-230", "title" : "Forest Cover , Condition , and Ecology in Human- Impacted Forests , South-Eastern Madagascar", "type" : "article-journal", "volume" : "4" }, "uris" : [ "http://www.mendeley.com/documents/?uuid=5c43cbf3-0331-4471-9460-18a69780bd0c" ] } ], "mendeley" : { "manualFormatting" : "(Ingram &amp; Dawson 2006)", "previouslyFormattedCitation" : "(Ingram &amp; Dawson 2006)" }, "properties" : { "noteIndex" : 0 }, "schema" : "https://github.com/citation-style-language/schema/raw/master/csl-citation.json" }</w:instrText>
      </w:r>
      <w:r w:rsidR="001C50A9" w:rsidRPr="00D961B9">
        <w:rPr>
          <w:rFonts w:ascii="Calibri" w:hAnsi="Calibri"/>
          <w:sz w:val="24"/>
          <w:szCs w:val="24"/>
          <w:lang w:val="en-GB"/>
        </w:rPr>
        <w:fldChar w:fldCharType="separate"/>
      </w:r>
      <w:r w:rsidR="001C50A9" w:rsidRPr="00D961B9">
        <w:rPr>
          <w:rFonts w:ascii="Calibri" w:hAnsi="Calibri"/>
          <w:noProof/>
          <w:sz w:val="24"/>
          <w:szCs w:val="24"/>
          <w:lang w:val="en-GB"/>
        </w:rPr>
        <w:t xml:space="preserve">(Ingram </w:t>
      </w:r>
      <w:r w:rsidR="00436CB2" w:rsidRPr="00D961B9">
        <w:rPr>
          <w:rFonts w:ascii="Calibri" w:hAnsi="Calibri"/>
          <w:noProof/>
          <w:sz w:val="24"/>
          <w:szCs w:val="24"/>
          <w:lang w:val="en-GB"/>
        </w:rPr>
        <w:t>and</w:t>
      </w:r>
      <w:r w:rsidR="001C50A9" w:rsidRPr="00D961B9">
        <w:rPr>
          <w:rFonts w:ascii="Calibri" w:hAnsi="Calibri"/>
          <w:noProof/>
          <w:sz w:val="24"/>
          <w:szCs w:val="24"/>
          <w:lang w:val="en-GB"/>
        </w:rPr>
        <w:t xml:space="preserve"> Dawson</w:t>
      </w:r>
      <w:r w:rsidR="00436CB2" w:rsidRPr="00D961B9">
        <w:rPr>
          <w:rFonts w:ascii="Calibri" w:hAnsi="Calibri"/>
          <w:noProof/>
          <w:sz w:val="24"/>
          <w:szCs w:val="24"/>
          <w:lang w:val="en-GB"/>
        </w:rPr>
        <w:t>,</w:t>
      </w:r>
      <w:r w:rsidR="001C50A9" w:rsidRPr="00D961B9">
        <w:rPr>
          <w:rFonts w:ascii="Calibri" w:hAnsi="Calibri"/>
          <w:noProof/>
          <w:sz w:val="24"/>
          <w:szCs w:val="24"/>
          <w:lang w:val="en-GB"/>
        </w:rPr>
        <w:t xml:space="preserve"> 2006)</w:t>
      </w:r>
      <w:r w:rsidR="001C50A9" w:rsidRPr="00D961B9">
        <w:rPr>
          <w:rFonts w:ascii="Calibri" w:hAnsi="Calibri"/>
          <w:sz w:val="24"/>
          <w:szCs w:val="24"/>
          <w:lang w:val="en-GB"/>
        </w:rPr>
        <w:fldChar w:fldCharType="end"/>
      </w:r>
      <w:r w:rsidR="001C50A9" w:rsidRPr="00D961B9">
        <w:rPr>
          <w:rFonts w:ascii="Calibri" w:hAnsi="Calibri"/>
          <w:sz w:val="24"/>
          <w:szCs w:val="24"/>
          <w:lang w:val="en-GB"/>
        </w:rPr>
        <w:t xml:space="preserve">. By using a background deforestation rate of 0.9%, which the company considers as conservative, it nevertheless appears that some indirect impacts </w:t>
      </w:r>
      <w:r w:rsidR="00FE42A3" w:rsidRPr="00D961B9">
        <w:rPr>
          <w:rFonts w:ascii="Calibri" w:hAnsi="Calibri"/>
          <w:sz w:val="24"/>
          <w:szCs w:val="24"/>
          <w:lang w:val="en-GB"/>
        </w:rPr>
        <w:t>associated with</w:t>
      </w:r>
      <w:r w:rsidR="001C50A9" w:rsidRPr="00D961B9">
        <w:rPr>
          <w:rFonts w:ascii="Calibri" w:hAnsi="Calibri"/>
          <w:sz w:val="24"/>
          <w:szCs w:val="24"/>
          <w:lang w:val="en-GB"/>
        </w:rPr>
        <w:t xml:space="preserve"> the mining project itself were used in establishing an inappropriately high rate of biodiversity loss in the </w:t>
      </w:r>
      <w:r w:rsidR="001C50A9" w:rsidRPr="00D961B9">
        <w:rPr>
          <w:rFonts w:ascii="Calibri" w:hAnsi="Calibri"/>
          <w:sz w:val="24"/>
          <w:szCs w:val="24"/>
          <w:lang w:val="en-GB"/>
        </w:rPr>
        <w:lastRenderedPageBreak/>
        <w:t xml:space="preserve">counterfactual scenario – calling into question the quantification of net losses that would need to be offset. </w:t>
      </w:r>
    </w:p>
    <w:p w14:paraId="09990AA9" w14:textId="77777777" w:rsidR="00B07EE8" w:rsidRPr="00D961B9" w:rsidRDefault="00B07EE8" w:rsidP="00CA6891">
      <w:pPr>
        <w:autoSpaceDE w:val="0"/>
        <w:autoSpaceDN w:val="0"/>
        <w:adjustRightInd w:val="0"/>
        <w:spacing w:after="0" w:line="288" w:lineRule="auto"/>
        <w:rPr>
          <w:rFonts w:ascii="Calibri" w:hAnsi="Calibri"/>
          <w:sz w:val="24"/>
          <w:szCs w:val="24"/>
          <w:lang w:val="en-GB"/>
        </w:rPr>
      </w:pPr>
    </w:p>
    <w:p w14:paraId="4F3AB84E" w14:textId="77777777" w:rsidR="004601A7" w:rsidRPr="00D961B9" w:rsidRDefault="00696296" w:rsidP="00D961B9">
      <w:pPr>
        <w:pStyle w:val="Heading2"/>
        <w:numPr>
          <w:ilvl w:val="1"/>
          <w:numId w:val="36"/>
        </w:numPr>
        <w:ind w:hanging="720"/>
        <w:rPr>
          <w:sz w:val="24"/>
          <w:szCs w:val="24"/>
        </w:rPr>
      </w:pPr>
      <w:r w:rsidRPr="00D961B9">
        <w:rPr>
          <w:sz w:val="24"/>
          <w:szCs w:val="24"/>
        </w:rPr>
        <w:t xml:space="preserve">How much biodiversity is </w:t>
      </w:r>
      <w:r w:rsidR="00454AC4" w:rsidRPr="00D961B9">
        <w:rPr>
          <w:sz w:val="24"/>
          <w:szCs w:val="24"/>
        </w:rPr>
        <w:t>affected</w:t>
      </w:r>
      <w:r w:rsidRPr="00D961B9">
        <w:rPr>
          <w:sz w:val="24"/>
          <w:szCs w:val="24"/>
        </w:rPr>
        <w:t>?</w:t>
      </w:r>
    </w:p>
    <w:p w14:paraId="1ABD6A0C" w14:textId="664136C9" w:rsidR="00C65AFB" w:rsidRPr="00D961B9" w:rsidRDefault="00C65AFB" w:rsidP="00C65AFB">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The conversion of one hectare of forest to mining use does not necessarily translate into the same biodiversity loss as the loss of one hectare under the counterfactual scenario for the impacted or offset site. For example, the conversion of forest to a landscape of small-holder agriculture may retain significant biodiversity values. </w:t>
      </w:r>
      <w:r w:rsidR="00F4327F" w:rsidRPr="00D961B9">
        <w:rPr>
          <w:rFonts w:ascii="Calibri" w:hAnsi="Calibri"/>
          <w:sz w:val="24"/>
          <w:szCs w:val="24"/>
          <w:lang w:val="en-GB"/>
        </w:rPr>
        <w:t>That is</w:t>
      </w:r>
      <w:r w:rsidRPr="00D961B9">
        <w:rPr>
          <w:rFonts w:ascii="Calibri" w:hAnsi="Calibri"/>
          <w:sz w:val="24"/>
          <w:szCs w:val="24"/>
          <w:lang w:val="en-GB"/>
        </w:rPr>
        <w:t xml:space="preserve">, one hectare of “high quality” forest lost to traditional agriculture </w:t>
      </w:r>
      <w:r w:rsidR="00F4327F" w:rsidRPr="00D961B9">
        <w:rPr>
          <w:rFonts w:ascii="Calibri" w:hAnsi="Calibri"/>
          <w:sz w:val="24"/>
          <w:szCs w:val="24"/>
          <w:lang w:val="en-GB"/>
        </w:rPr>
        <w:t xml:space="preserve">versus </w:t>
      </w:r>
      <w:r w:rsidR="00FE42A3" w:rsidRPr="00D961B9">
        <w:rPr>
          <w:rFonts w:ascii="Calibri" w:hAnsi="Calibri"/>
          <w:sz w:val="24"/>
          <w:szCs w:val="24"/>
          <w:lang w:val="en-GB"/>
        </w:rPr>
        <w:t xml:space="preserve">a hectare lost to </w:t>
      </w:r>
      <w:r w:rsidR="00F4327F" w:rsidRPr="00D961B9">
        <w:rPr>
          <w:rFonts w:ascii="Calibri" w:hAnsi="Calibri"/>
          <w:sz w:val="24"/>
          <w:szCs w:val="24"/>
          <w:lang w:val="en-GB"/>
        </w:rPr>
        <w:t xml:space="preserve">mining </w:t>
      </w:r>
      <w:r w:rsidRPr="00D961B9">
        <w:rPr>
          <w:rFonts w:ascii="Calibri" w:hAnsi="Calibri"/>
          <w:sz w:val="24"/>
          <w:szCs w:val="24"/>
          <w:lang w:val="en-GB"/>
        </w:rPr>
        <w:t xml:space="preserve">may not </w:t>
      </w:r>
      <w:r w:rsidR="00FE42A3" w:rsidRPr="00D961B9">
        <w:rPr>
          <w:rFonts w:ascii="Calibri" w:hAnsi="Calibri"/>
          <w:sz w:val="24"/>
          <w:szCs w:val="24"/>
          <w:lang w:val="en-GB"/>
        </w:rPr>
        <w:t>compare</w:t>
      </w:r>
      <w:r w:rsidRPr="00D961B9">
        <w:rPr>
          <w:rFonts w:ascii="Calibri" w:hAnsi="Calibri"/>
          <w:sz w:val="24"/>
          <w:szCs w:val="24"/>
          <w:lang w:val="en-GB"/>
        </w:rPr>
        <w:t xml:space="preserve"> </w:t>
      </w:r>
      <w:r w:rsidR="00F4327F" w:rsidRPr="00D961B9">
        <w:rPr>
          <w:rFonts w:ascii="Calibri" w:hAnsi="Calibri"/>
          <w:sz w:val="24"/>
          <w:szCs w:val="24"/>
          <w:lang w:val="en-GB"/>
        </w:rPr>
        <w:t>e</w:t>
      </w:r>
      <w:r w:rsidR="00FE42A3" w:rsidRPr="00D961B9">
        <w:rPr>
          <w:rFonts w:ascii="Calibri" w:hAnsi="Calibri"/>
          <w:sz w:val="24"/>
          <w:szCs w:val="24"/>
          <w:lang w:val="en-GB"/>
        </w:rPr>
        <w:t>qually</w:t>
      </w:r>
      <w:r w:rsidRPr="00D961B9">
        <w:rPr>
          <w:rFonts w:ascii="Calibri" w:hAnsi="Calibri"/>
          <w:sz w:val="24"/>
          <w:szCs w:val="24"/>
          <w:lang w:val="en-GB"/>
        </w:rPr>
        <w:t xml:space="preserve">.  </w:t>
      </w:r>
    </w:p>
    <w:p w14:paraId="6F99FC70" w14:textId="77777777" w:rsidR="00B1686D" w:rsidRPr="00D961B9" w:rsidRDefault="00B1686D" w:rsidP="00971DA6">
      <w:pPr>
        <w:autoSpaceDE w:val="0"/>
        <w:autoSpaceDN w:val="0"/>
        <w:adjustRightInd w:val="0"/>
        <w:spacing w:after="0" w:line="288" w:lineRule="auto"/>
        <w:rPr>
          <w:rFonts w:ascii="Calibri" w:hAnsi="Calibri"/>
          <w:sz w:val="24"/>
          <w:szCs w:val="24"/>
          <w:lang w:val="en-GB"/>
        </w:rPr>
      </w:pPr>
    </w:p>
    <w:p w14:paraId="017649BB" w14:textId="133DE100" w:rsidR="00696296" w:rsidRPr="00D961B9" w:rsidRDefault="009E6772" w:rsidP="00971DA6">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In REDD </w:t>
      </w:r>
      <w:r w:rsidR="00C65AFB" w:rsidRPr="00D961B9">
        <w:rPr>
          <w:rFonts w:ascii="Calibri" w:hAnsi="Calibri"/>
          <w:sz w:val="24"/>
          <w:szCs w:val="24"/>
          <w:lang w:val="en-GB"/>
        </w:rPr>
        <w:t xml:space="preserve">projects, this is known as the “emissions factor” </w:t>
      </w:r>
      <w:r w:rsidRPr="00D961B9">
        <w:rPr>
          <w:rFonts w:ascii="Calibri" w:hAnsi="Calibri"/>
          <w:sz w:val="24"/>
          <w:szCs w:val="24"/>
          <w:lang w:val="en-GB"/>
        </w:rPr>
        <w:t xml:space="preserve">(Olander </w:t>
      </w:r>
      <w:r w:rsidR="00436CB2" w:rsidRPr="00D961B9">
        <w:rPr>
          <w:rFonts w:ascii="Calibri" w:hAnsi="Calibri"/>
          <w:sz w:val="24"/>
          <w:szCs w:val="24"/>
          <w:lang w:val="en-GB"/>
        </w:rPr>
        <w:t>and</w:t>
      </w:r>
      <w:r w:rsidRPr="00D961B9">
        <w:rPr>
          <w:rFonts w:ascii="Calibri" w:hAnsi="Calibri"/>
          <w:sz w:val="24"/>
          <w:szCs w:val="24"/>
          <w:lang w:val="en-GB"/>
        </w:rPr>
        <w:t xml:space="preserve"> Ebeling</w:t>
      </w:r>
      <w:r w:rsidR="00436CB2" w:rsidRPr="00D961B9">
        <w:rPr>
          <w:rFonts w:ascii="Calibri" w:hAnsi="Calibri"/>
          <w:sz w:val="24"/>
          <w:szCs w:val="24"/>
          <w:lang w:val="en-GB"/>
        </w:rPr>
        <w:t>,</w:t>
      </w:r>
      <w:r w:rsidRPr="00D961B9">
        <w:rPr>
          <w:rFonts w:ascii="Calibri" w:hAnsi="Calibri"/>
          <w:sz w:val="24"/>
          <w:szCs w:val="24"/>
          <w:lang w:val="en-GB"/>
        </w:rPr>
        <w:t xml:space="preserve"> 2011). </w:t>
      </w:r>
      <w:r w:rsidR="00FE42A3" w:rsidRPr="00D961B9">
        <w:rPr>
          <w:rFonts w:ascii="Calibri" w:hAnsi="Calibri"/>
          <w:sz w:val="24"/>
          <w:szCs w:val="24"/>
          <w:lang w:val="en-GB"/>
        </w:rPr>
        <w:t>For example, n</w:t>
      </w:r>
      <w:r w:rsidRPr="00D961B9">
        <w:rPr>
          <w:rFonts w:ascii="Calibri" w:hAnsi="Calibri"/>
          <w:sz w:val="24"/>
          <w:szCs w:val="24"/>
          <w:lang w:val="en-GB"/>
        </w:rPr>
        <w:t>ot all carbon stored in an area is lost when humid forest is converted to shifting agriculture</w:t>
      </w:r>
      <w:r w:rsidR="000A22AD" w:rsidRPr="00D961B9">
        <w:rPr>
          <w:rFonts w:ascii="Calibri" w:hAnsi="Calibri"/>
          <w:sz w:val="24"/>
          <w:szCs w:val="24"/>
          <w:lang w:val="en-GB"/>
        </w:rPr>
        <w:t xml:space="preserve"> (a type of agriculture that relies on clearing vegetation, </w:t>
      </w:r>
      <w:r w:rsidR="00F05DC7" w:rsidRPr="00D961B9">
        <w:rPr>
          <w:rFonts w:ascii="Calibri" w:hAnsi="Calibri"/>
          <w:sz w:val="24"/>
          <w:szCs w:val="24"/>
          <w:lang w:val="en-GB"/>
        </w:rPr>
        <w:t>either forest or fallow land</w:t>
      </w:r>
      <w:r w:rsidR="000A22AD" w:rsidRPr="00D961B9">
        <w:rPr>
          <w:rFonts w:ascii="Calibri" w:hAnsi="Calibri"/>
          <w:sz w:val="24"/>
          <w:szCs w:val="24"/>
          <w:lang w:val="en-GB"/>
        </w:rPr>
        <w:t xml:space="preserve">, </w:t>
      </w:r>
      <w:r w:rsidR="00F05DC7" w:rsidRPr="00D961B9">
        <w:rPr>
          <w:rFonts w:ascii="Calibri" w:hAnsi="Calibri"/>
          <w:sz w:val="24"/>
          <w:szCs w:val="24"/>
          <w:lang w:val="en-GB"/>
        </w:rPr>
        <w:t xml:space="preserve">for </w:t>
      </w:r>
      <w:r w:rsidR="000A22AD" w:rsidRPr="00D961B9">
        <w:rPr>
          <w:rFonts w:ascii="Calibri" w:hAnsi="Calibri"/>
          <w:sz w:val="24"/>
          <w:szCs w:val="24"/>
          <w:lang w:val="en-GB"/>
        </w:rPr>
        <w:t>cultivation</w:t>
      </w:r>
      <w:r w:rsidR="00F05DC7" w:rsidRPr="00D961B9">
        <w:rPr>
          <w:rFonts w:ascii="Calibri" w:hAnsi="Calibri"/>
          <w:sz w:val="24"/>
          <w:szCs w:val="24"/>
          <w:lang w:val="en-GB"/>
        </w:rPr>
        <w:t>, which is</w:t>
      </w:r>
      <w:r w:rsidR="000A22AD" w:rsidRPr="00D961B9">
        <w:rPr>
          <w:rFonts w:ascii="Calibri" w:hAnsi="Calibri"/>
          <w:sz w:val="24"/>
          <w:szCs w:val="24"/>
          <w:lang w:val="en-GB"/>
        </w:rPr>
        <w:t xml:space="preserve"> </w:t>
      </w:r>
      <w:r w:rsidR="00F05DC7" w:rsidRPr="00D961B9">
        <w:rPr>
          <w:rFonts w:ascii="Calibri" w:hAnsi="Calibri"/>
          <w:sz w:val="24"/>
          <w:szCs w:val="24"/>
          <w:lang w:val="en-GB"/>
        </w:rPr>
        <w:t xml:space="preserve">then </w:t>
      </w:r>
      <w:r w:rsidR="000A22AD" w:rsidRPr="00D961B9">
        <w:rPr>
          <w:rFonts w:ascii="Calibri" w:hAnsi="Calibri"/>
          <w:sz w:val="24"/>
          <w:szCs w:val="24"/>
          <w:lang w:val="en-GB"/>
        </w:rPr>
        <w:t>abandoned when fertility is reduced)</w:t>
      </w:r>
      <w:r w:rsidR="00FE42A3" w:rsidRPr="00D961B9">
        <w:rPr>
          <w:rFonts w:ascii="Calibri" w:hAnsi="Calibri"/>
          <w:sz w:val="24"/>
          <w:szCs w:val="24"/>
          <w:lang w:val="en-GB"/>
        </w:rPr>
        <w:t>,</w:t>
      </w:r>
      <w:r w:rsidRPr="00D961B9">
        <w:rPr>
          <w:rFonts w:ascii="Calibri" w:hAnsi="Calibri"/>
          <w:sz w:val="24"/>
          <w:szCs w:val="24"/>
          <w:lang w:val="en-GB"/>
        </w:rPr>
        <w:t xml:space="preserve"> particularly where long fallow periods are involved. Similarly, carbon sequestered in a forest plantation must be compared to that stored in shrublands, if that was the pre-project vegetation</w:t>
      </w:r>
      <w:r w:rsidR="00894460" w:rsidRPr="00D961B9">
        <w:rPr>
          <w:rFonts w:ascii="Calibri" w:hAnsi="Calibri"/>
          <w:sz w:val="24"/>
          <w:szCs w:val="24"/>
          <w:lang w:val="en-GB"/>
        </w:rPr>
        <w:t>, or may even have to be compared to a counterfactual of passively regenerating forest</w:t>
      </w:r>
      <w:r w:rsidR="00390FC0" w:rsidRPr="00D961B9">
        <w:rPr>
          <w:rFonts w:ascii="Calibri" w:hAnsi="Calibri"/>
          <w:sz w:val="24"/>
          <w:szCs w:val="24"/>
          <w:lang w:val="en-GB"/>
        </w:rPr>
        <w:t xml:space="preserve"> </w:t>
      </w:r>
      <w:r w:rsidR="00894460" w:rsidRPr="00D961B9">
        <w:rPr>
          <w:rFonts w:ascii="Calibri" w:hAnsi="Calibri"/>
          <w:sz w:val="24"/>
          <w:szCs w:val="24"/>
          <w:lang w:val="en-GB"/>
        </w:rPr>
        <w:t xml:space="preserve">land </w:t>
      </w:r>
      <w:r w:rsidR="002161A7" w:rsidRPr="00D961B9">
        <w:rPr>
          <w:rFonts w:ascii="Calibri" w:hAnsi="Calibri"/>
          <w:sz w:val="24"/>
          <w:szCs w:val="24"/>
          <w:lang w:val="en-GB"/>
        </w:rPr>
        <w:t xml:space="preserve">(Olander </w:t>
      </w:r>
      <w:r w:rsidR="00436CB2" w:rsidRPr="00D961B9">
        <w:rPr>
          <w:rFonts w:ascii="Calibri" w:hAnsi="Calibri"/>
          <w:sz w:val="24"/>
          <w:szCs w:val="24"/>
          <w:lang w:val="en-GB"/>
        </w:rPr>
        <w:t>and</w:t>
      </w:r>
      <w:r w:rsidR="002161A7" w:rsidRPr="00D961B9">
        <w:rPr>
          <w:rFonts w:ascii="Calibri" w:hAnsi="Calibri"/>
          <w:sz w:val="24"/>
          <w:szCs w:val="24"/>
          <w:lang w:val="en-GB"/>
        </w:rPr>
        <w:t xml:space="preserve"> Ebeling</w:t>
      </w:r>
      <w:r w:rsidR="00436CB2" w:rsidRPr="00D961B9">
        <w:rPr>
          <w:rFonts w:ascii="Calibri" w:hAnsi="Calibri"/>
          <w:sz w:val="24"/>
          <w:szCs w:val="24"/>
          <w:lang w:val="en-GB"/>
        </w:rPr>
        <w:t>,</w:t>
      </w:r>
      <w:r w:rsidR="002161A7" w:rsidRPr="00D961B9">
        <w:rPr>
          <w:rFonts w:ascii="Calibri" w:hAnsi="Calibri"/>
          <w:sz w:val="24"/>
          <w:szCs w:val="24"/>
          <w:lang w:val="en-GB"/>
        </w:rPr>
        <w:t xml:space="preserve"> 2011).</w:t>
      </w:r>
    </w:p>
    <w:p w14:paraId="31F733EC" w14:textId="77777777" w:rsidR="002161A7" w:rsidRPr="00D961B9" w:rsidRDefault="002161A7" w:rsidP="00971DA6">
      <w:pPr>
        <w:autoSpaceDE w:val="0"/>
        <w:autoSpaceDN w:val="0"/>
        <w:adjustRightInd w:val="0"/>
        <w:spacing w:after="0" w:line="288" w:lineRule="auto"/>
        <w:rPr>
          <w:rFonts w:ascii="Calibri" w:hAnsi="Calibri"/>
          <w:sz w:val="24"/>
          <w:szCs w:val="24"/>
          <w:lang w:val="en-GB"/>
        </w:rPr>
      </w:pPr>
    </w:p>
    <w:p w14:paraId="738FA5EC" w14:textId="77777777" w:rsidR="002161A7" w:rsidRPr="00D961B9" w:rsidRDefault="00C65AFB" w:rsidP="00971DA6">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This same basic logic could be applied to biodiversity offsets with introduction of a “biodiversity con</w:t>
      </w:r>
      <w:r w:rsidR="00360D6A" w:rsidRPr="00D961B9">
        <w:rPr>
          <w:rFonts w:ascii="Calibri" w:hAnsi="Calibri"/>
          <w:sz w:val="24"/>
          <w:szCs w:val="24"/>
          <w:lang w:val="en-GB"/>
        </w:rPr>
        <w:t>vers</w:t>
      </w:r>
      <w:r w:rsidRPr="00D961B9">
        <w:rPr>
          <w:rFonts w:ascii="Calibri" w:hAnsi="Calibri"/>
          <w:sz w:val="24"/>
          <w:szCs w:val="24"/>
          <w:lang w:val="en-GB"/>
        </w:rPr>
        <w:t>ion factor”</w:t>
      </w:r>
      <w:r w:rsidR="00D07A66" w:rsidRPr="00D961B9">
        <w:rPr>
          <w:rFonts w:ascii="Calibri" w:hAnsi="Calibri"/>
          <w:sz w:val="24"/>
          <w:szCs w:val="24"/>
          <w:lang w:val="en-GB"/>
        </w:rPr>
        <w:t xml:space="preserve"> (see formula 2)</w:t>
      </w:r>
      <w:r w:rsidR="00AF66C1" w:rsidRPr="00D961B9">
        <w:rPr>
          <w:rFonts w:ascii="Calibri" w:hAnsi="Calibri"/>
          <w:sz w:val="24"/>
          <w:szCs w:val="24"/>
          <w:lang w:val="en-GB"/>
        </w:rPr>
        <w:t xml:space="preserve">. </w:t>
      </w:r>
      <w:r w:rsidR="002161A7" w:rsidRPr="00D961B9">
        <w:rPr>
          <w:rFonts w:ascii="Calibri" w:hAnsi="Calibri"/>
          <w:sz w:val="24"/>
          <w:szCs w:val="24"/>
          <w:lang w:val="en-GB"/>
        </w:rPr>
        <w:t>Often</w:t>
      </w:r>
      <w:r w:rsidR="003E0CF5" w:rsidRPr="00D961B9">
        <w:rPr>
          <w:rFonts w:ascii="Calibri" w:hAnsi="Calibri"/>
          <w:sz w:val="24"/>
          <w:szCs w:val="24"/>
          <w:lang w:val="en-GB"/>
        </w:rPr>
        <w:t>, th</w:t>
      </w:r>
      <w:r w:rsidR="00103CEA" w:rsidRPr="00D961B9">
        <w:rPr>
          <w:rFonts w:ascii="Calibri" w:hAnsi="Calibri"/>
          <w:sz w:val="24"/>
          <w:szCs w:val="24"/>
          <w:lang w:val="en-GB"/>
        </w:rPr>
        <w:t>e</w:t>
      </w:r>
      <w:r w:rsidR="00505F03" w:rsidRPr="00D961B9">
        <w:rPr>
          <w:rFonts w:ascii="Calibri" w:hAnsi="Calibri"/>
          <w:sz w:val="24"/>
          <w:szCs w:val="24"/>
          <w:lang w:val="en-GB"/>
        </w:rPr>
        <w:t xml:space="preserve"> </w:t>
      </w:r>
      <w:r w:rsidR="00D010D1" w:rsidRPr="00D961B9">
        <w:rPr>
          <w:rFonts w:ascii="Calibri" w:hAnsi="Calibri"/>
          <w:sz w:val="24"/>
          <w:szCs w:val="24"/>
          <w:lang w:val="en-GB"/>
        </w:rPr>
        <w:t>relationship</w:t>
      </w:r>
      <w:r w:rsidR="00971DA6" w:rsidRPr="00D961B9">
        <w:rPr>
          <w:rFonts w:ascii="Calibri" w:hAnsi="Calibri"/>
          <w:sz w:val="24"/>
          <w:szCs w:val="24"/>
          <w:lang w:val="en-GB"/>
        </w:rPr>
        <w:t xml:space="preserve"> </w:t>
      </w:r>
      <w:r w:rsidR="002161A7" w:rsidRPr="00D961B9">
        <w:rPr>
          <w:rFonts w:ascii="Calibri" w:hAnsi="Calibri"/>
          <w:sz w:val="24"/>
          <w:szCs w:val="24"/>
          <w:lang w:val="en-GB"/>
        </w:rPr>
        <w:t xml:space="preserve">between habitat area converted and net biodiversity losses </w:t>
      </w:r>
      <w:r w:rsidR="00971DA6" w:rsidRPr="00D961B9">
        <w:rPr>
          <w:rFonts w:ascii="Calibri" w:hAnsi="Calibri"/>
          <w:sz w:val="24"/>
          <w:szCs w:val="24"/>
          <w:lang w:val="en-GB"/>
        </w:rPr>
        <w:t xml:space="preserve">is </w:t>
      </w:r>
      <w:r w:rsidR="00C433F5" w:rsidRPr="00D961B9">
        <w:rPr>
          <w:rFonts w:ascii="Calibri" w:hAnsi="Calibri"/>
          <w:sz w:val="24"/>
          <w:szCs w:val="24"/>
          <w:lang w:val="en-GB"/>
        </w:rPr>
        <w:t xml:space="preserve">both </w:t>
      </w:r>
      <w:r w:rsidR="002161A7" w:rsidRPr="00D961B9">
        <w:rPr>
          <w:rFonts w:ascii="Calibri" w:hAnsi="Calibri"/>
          <w:sz w:val="24"/>
          <w:szCs w:val="24"/>
          <w:lang w:val="en-GB"/>
        </w:rPr>
        <w:t xml:space="preserve">complex and </w:t>
      </w:r>
      <w:r w:rsidR="00971DA6" w:rsidRPr="00D961B9">
        <w:rPr>
          <w:rFonts w:ascii="Calibri" w:hAnsi="Calibri"/>
          <w:sz w:val="24"/>
          <w:szCs w:val="24"/>
          <w:lang w:val="en-GB"/>
        </w:rPr>
        <w:t xml:space="preserve">poorly </w:t>
      </w:r>
      <w:r w:rsidR="00817C83" w:rsidRPr="00D961B9">
        <w:rPr>
          <w:rFonts w:ascii="Calibri" w:hAnsi="Calibri"/>
          <w:sz w:val="24"/>
          <w:szCs w:val="24"/>
          <w:lang w:val="en-GB"/>
        </w:rPr>
        <w:t>understood</w:t>
      </w:r>
      <w:r w:rsidR="002161A7" w:rsidRPr="00D961B9">
        <w:rPr>
          <w:rFonts w:ascii="Calibri" w:hAnsi="Calibri"/>
          <w:sz w:val="24"/>
          <w:szCs w:val="24"/>
          <w:lang w:val="en-GB"/>
        </w:rPr>
        <w:t>, given the many aspects of biodiversity and their unique characteristics in a landscape</w:t>
      </w:r>
      <w:r w:rsidR="00103CEA" w:rsidRPr="00D961B9">
        <w:rPr>
          <w:rFonts w:ascii="Calibri" w:hAnsi="Calibri"/>
          <w:sz w:val="24"/>
          <w:szCs w:val="24"/>
          <w:lang w:val="en-GB"/>
        </w:rPr>
        <w:t xml:space="preserve"> – a fundamental difference to the more one-dimensional nature of carbon</w:t>
      </w:r>
      <w:r w:rsidR="002161A7" w:rsidRPr="00D961B9">
        <w:rPr>
          <w:rFonts w:ascii="Calibri" w:hAnsi="Calibri"/>
          <w:sz w:val="24"/>
          <w:szCs w:val="24"/>
          <w:lang w:val="en-GB"/>
        </w:rPr>
        <w:t>. This makes it tempting to ignore</w:t>
      </w:r>
      <w:r w:rsidR="00103CEA" w:rsidRPr="00D961B9">
        <w:rPr>
          <w:rFonts w:ascii="Calibri" w:hAnsi="Calibri"/>
          <w:sz w:val="24"/>
          <w:szCs w:val="24"/>
          <w:lang w:val="en-GB"/>
        </w:rPr>
        <w:t xml:space="preserve"> </w:t>
      </w:r>
      <w:r w:rsidR="002161A7" w:rsidRPr="00D961B9">
        <w:rPr>
          <w:rFonts w:ascii="Calibri" w:hAnsi="Calibri"/>
          <w:sz w:val="24"/>
          <w:szCs w:val="24"/>
          <w:lang w:val="en-GB"/>
        </w:rPr>
        <w:t xml:space="preserve">– yet it suggests added research effort </w:t>
      </w:r>
      <w:r w:rsidR="00103CEA" w:rsidRPr="00D961B9">
        <w:rPr>
          <w:rFonts w:ascii="Calibri" w:hAnsi="Calibri"/>
          <w:sz w:val="24"/>
          <w:szCs w:val="24"/>
          <w:lang w:val="en-GB"/>
        </w:rPr>
        <w:t>is even more urgently required.</w:t>
      </w:r>
    </w:p>
    <w:p w14:paraId="68DD351F" w14:textId="77777777" w:rsidR="00AF66C1" w:rsidRPr="00D961B9" w:rsidRDefault="00AF66C1" w:rsidP="00971DA6">
      <w:pPr>
        <w:autoSpaceDE w:val="0"/>
        <w:autoSpaceDN w:val="0"/>
        <w:adjustRightInd w:val="0"/>
        <w:spacing w:after="0" w:line="288" w:lineRule="auto"/>
        <w:rPr>
          <w:rFonts w:ascii="Calibri" w:hAnsi="Calibri"/>
          <w:sz w:val="24"/>
          <w:szCs w:val="24"/>
          <w:lang w:val="en-GB"/>
        </w:rPr>
      </w:pPr>
    </w:p>
    <w:p w14:paraId="094BDB87" w14:textId="0A57D330" w:rsidR="00C65AFB" w:rsidRPr="00D961B9" w:rsidRDefault="00C65AFB" w:rsidP="00C65AFB">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The Rio Tinto</w:t>
      </w:r>
      <w:r w:rsidR="00BB1078" w:rsidRPr="00D961B9">
        <w:rPr>
          <w:rFonts w:ascii="Calibri" w:hAnsi="Calibri"/>
          <w:sz w:val="24"/>
          <w:szCs w:val="24"/>
          <w:lang w:val="en-GB"/>
        </w:rPr>
        <w:t>-</w:t>
      </w:r>
      <w:r w:rsidRPr="00D961B9">
        <w:rPr>
          <w:rFonts w:ascii="Calibri" w:hAnsi="Calibri"/>
          <w:sz w:val="24"/>
          <w:szCs w:val="24"/>
          <w:lang w:val="en-GB"/>
        </w:rPr>
        <w:t xml:space="preserve">QMM project and the Ambatovy offset projects in Madagascar (Table </w:t>
      </w:r>
      <w:r w:rsidR="006B0A24" w:rsidRPr="00D961B9">
        <w:rPr>
          <w:rFonts w:ascii="Calibri" w:hAnsi="Calibri"/>
          <w:sz w:val="24"/>
          <w:szCs w:val="24"/>
          <w:lang w:val="en-GB"/>
        </w:rPr>
        <w:t>A.</w:t>
      </w:r>
      <w:r w:rsidRPr="00D961B9">
        <w:rPr>
          <w:rFonts w:ascii="Calibri" w:hAnsi="Calibri"/>
          <w:sz w:val="24"/>
          <w:szCs w:val="24"/>
          <w:lang w:val="en-GB"/>
        </w:rPr>
        <w:t>1) illustrate this challenge. Both assume shifting agriculture to be one of the main threats to biodiversity, and most of the compensatory offset activities aim at reducing this threat. By simply applying projected deforestation rates (measuring area)</w:t>
      </w:r>
      <w:r w:rsidR="00BB1078" w:rsidRPr="00D961B9">
        <w:rPr>
          <w:rFonts w:ascii="Calibri" w:hAnsi="Calibri"/>
          <w:sz w:val="24"/>
          <w:szCs w:val="24"/>
          <w:lang w:val="en-GB"/>
        </w:rPr>
        <w:t>,</w:t>
      </w:r>
      <w:r w:rsidRPr="00D961B9">
        <w:rPr>
          <w:rFonts w:ascii="Calibri" w:hAnsi="Calibri"/>
          <w:sz w:val="24"/>
          <w:szCs w:val="24"/>
          <w:lang w:val="en-GB"/>
        </w:rPr>
        <w:t xml:space="preserve"> both assume that shifting agriculture is comparable to mining in its biodiversity impacts.  </w:t>
      </w:r>
      <w:r w:rsidR="00F4327F" w:rsidRPr="00D961B9">
        <w:rPr>
          <w:rFonts w:ascii="Calibri" w:hAnsi="Calibri"/>
          <w:sz w:val="24"/>
          <w:szCs w:val="24"/>
          <w:lang w:val="en-GB"/>
        </w:rPr>
        <w:t>But the impacts of</w:t>
      </w:r>
      <w:r w:rsidRPr="00D961B9">
        <w:rPr>
          <w:rFonts w:ascii="Calibri" w:hAnsi="Calibri"/>
          <w:sz w:val="24"/>
          <w:szCs w:val="24"/>
          <w:lang w:val="en-GB"/>
        </w:rPr>
        <w:t xml:space="preserve"> shifting agriculture </w:t>
      </w:r>
      <w:r w:rsidR="00F4327F" w:rsidRPr="00D961B9">
        <w:rPr>
          <w:rFonts w:ascii="Calibri" w:hAnsi="Calibri"/>
          <w:sz w:val="24"/>
          <w:szCs w:val="24"/>
          <w:lang w:val="en-GB"/>
        </w:rPr>
        <w:t>can greatly vary to large-scale clearing for monocultures to small clearance</w:t>
      </w:r>
      <w:r w:rsidR="00BB1078" w:rsidRPr="00D961B9">
        <w:rPr>
          <w:rFonts w:ascii="Calibri" w:hAnsi="Calibri"/>
          <w:sz w:val="24"/>
          <w:szCs w:val="24"/>
          <w:lang w:val="en-GB"/>
        </w:rPr>
        <w:t>s</w:t>
      </w:r>
      <w:r w:rsidR="00F4327F" w:rsidRPr="00D961B9">
        <w:rPr>
          <w:rFonts w:ascii="Calibri" w:hAnsi="Calibri"/>
          <w:sz w:val="24"/>
          <w:szCs w:val="24"/>
          <w:lang w:val="en-GB"/>
        </w:rPr>
        <w:t xml:space="preserve"> for agro-forestry</w:t>
      </w:r>
      <w:r w:rsidRPr="00D961B9">
        <w:rPr>
          <w:rFonts w:ascii="Calibri" w:hAnsi="Calibri"/>
          <w:sz w:val="24"/>
          <w:szCs w:val="24"/>
          <w:lang w:val="en-GB"/>
        </w:rPr>
        <w:t xml:space="preserve">. </w:t>
      </w:r>
      <w:r w:rsidR="00F4327F" w:rsidRPr="00D961B9">
        <w:rPr>
          <w:rFonts w:ascii="Calibri" w:hAnsi="Calibri"/>
          <w:sz w:val="24"/>
          <w:szCs w:val="24"/>
          <w:lang w:val="en-GB"/>
        </w:rPr>
        <w:t>But in</w:t>
      </w:r>
      <w:r w:rsidRPr="00D961B9">
        <w:rPr>
          <w:rFonts w:ascii="Calibri" w:hAnsi="Calibri"/>
          <w:sz w:val="24"/>
          <w:szCs w:val="24"/>
          <w:lang w:val="en-GB"/>
        </w:rPr>
        <w:t xml:space="preserve"> large-scale </w:t>
      </w:r>
      <w:r w:rsidR="00F4327F" w:rsidRPr="00D961B9">
        <w:rPr>
          <w:rFonts w:ascii="Calibri" w:hAnsi="Calibri"/>
          <w:sz w:val="24"/>
          <w:szCs w:val="24"/>
          <w:lang w:val="en-GB"/>
        </w:rPr>
        <w:t>open</w:t>
      </w:r>
      <w:r w:rsidR="00BB1078" w:rsidRPr="00D961B9">
        <w:rPr>
          <w:rFonts w:ascii="Calibri" w:hAnsi="Calibri"/>
          <w:sz w:val="24"/>
          <w:szCs w:val="24"/>
          <w:lang w:val="en-GB"/>
        </w:rPr>
        <w:t>-</w:t>
      </w:r>
      <w:r w:rsidR="00F4327F" w:rsidRPr="00D961B9">
        <w:rPr>
          <w:rFonts w:ascii="Calibri" w:hAnsi="Calibri"/>
          <w:sz w:val="24"/>
          <w:szCs w:val="24"/>
          <w:lang w:val="en-GB"/>
        </w:rPr>
        <w:t xml:space="preserve">cast </w:t>
      </w:r>
      <w:r w:rsidRPr="00D961B9">
        <w:rPr>
          <w:rFonts w:ascii="Calibri" w:hAnsi="Calibri"/>
          <w:sz w:val="24"/>
          <w:szCs w:val="24"/>
          <w:lang w:val="en-GB"/>
        </w:rPr>
        <w:t xml:space="preserve">mining, </w:t>
      </w:r>
      <w:r w:rsidR="00F4327F" w:rsidRPr="00D961B9">
        <w:rPr>
          <w:rFonts w:ascii="Calibri" w:hAnsi="Calibri"/>
          <w:sz w:val="24"/>
          <w:szCs w:val="24"/>
          <w:lang w:val="en-GB"/>
        </w:rPr>
        <w:t>for example</w:t>
      </w:r>
      <w:r w:rsidRPr="00D961B9">
        <w:rPr>
          <w:rFonts w:ascii="Calibri" w:hAnsi="Calibri"/>
          <w:sz w:val="24"/>
          <w:szCs w:val="24"/>
          <w:lang w:val="en-GB"/>
        </w:rPr>
        <w:t xml:space="preserve">, the loss of biodiversity in an area is complete, without any time-lags between gradual loss and future recovery. At a minimum, the habitat hectare approach used to assess original biodiversity values on a site could be applied to better take into account relative losses. As discussed above, this approach needs to be adjusted to reliably capture different key biodiversity attributes that may be affected in different ways. </w:t>
      </w:r>
      <w:r w:rsidR="00D07A66" w:rsidRPr="00D961B9">
        <w:rPr>
          <w:rFonts w:ascii="Calibri" w:hAnsi="Calibri"/>
          <w:sz w:val="24"/>
          <w:szCs w:val="24"/>
          <w:lang w:val="en-GB"/>
        </w:rPr>
        <w:t xml:space="preserve">For example, </w:t>
      </w:r>
      <w:r w:rsidR="00F4327F" w:rsidRPr="00D961B9">
        <w:rPr>
          <w:rFonts w:ascii="Calibri" w:hAnsi="Calibri"/>
          <w:sz w:val="24"/>
          <w:szCs w:val="24"/>
          <w:lang w:val="en-GB"/>
        </w:rPr>
        <w:t>in the case of Rio</w:t>
      </w:r>
      <w:r w:rsidR="00BB1078" w:rsidRPr="00D961B9">
        <w:rPr>
          <w:rFonts w:ascii="Calibri" w:hAnsi="Calibri"/>
          <w:sz w:val="24"/>
          <w:szCs w:val="24"/>
          <w:lang w:val="en-GB"/>
        </w:rPr>
        <w:t xml:space="preserve"> </w:t>
      </w:r>
      <w:r w:rsidR="00F4327F" w:rsidRPr="00D961B9">
        <w:rPr>
          <w:rFonts w:ascii="Calibri" w:hAnsi="Calibri"/>
          <w:sz w:val="24"/>
          <w:szCs w:val="24"/>
          <w:lang w:val="en-GB"/>
        </w:rPr>
        <w:t>Tinto</w:t>
      </w:r>
      <w:r w:rsidR="00BB1078" w:rsidRPr="00D961B9">
        <w:rPr>
          <w:rFonts w:ascii="Calibri" w:hAnsi="Calibri"/>
          <w:sz w:val="24"/>
          <w:szCs w:val="24"/>
          <w:lang w:val="en-GB"/>
        </w:rPr>
        <w:t>-QMM</w:t>
      </w:r>
      <w:r w:rsidR="00F4327F" w:rsidRPr="00D961B9">
        <w:rPr>
          <w:rFonts w:ascii="Calibri" w:hAnsi="Calibri"/>
          <w:sz w:val="24"/>
          <w:szCs w:val="24"/>
          <w:lang w:val="en-GB"/>
        </w:rPr>
        <w:t xml:space="preserve">, the </w:t>
      </w:r>
      <w:r w:rsidR="00D07A66" w:rsidRPr="00D961B9">
        <w:rPr>
          <w:rFonts w:ascii="Calibri" w:hAnsi="Calibri"/>
          <w:sz w:val="24"/>
          <w:szCs w:val="24"/>
          <w:lang w:val="en-GB"/>
        </w:rPr>
        <w:t xml:space="preserve">charcoal exploitation </w:t>
      </w:r>
      <w:r w:rsidR="00F4327F" w:rsidRPr="00D961B9">
        <w:rPr>
          <w:rFonts w:ascii="Calibri" w:hAnsi="Calibri"/>
          <w:sz w:val="24"/>
          <w:szCs w:val="24"/>
          <w:lang w:val="en-GB"/>
        </w:rPr>
        <w:t xml:space="preserve">that is prevented at their offset site </w:t>
      </w:r>
      <w:r w:rsidR="00D07A66" w:rsidRPr="00D961B9">
        <w:rPr>
          <w:rFonts w:ascii="Calibri" w:hAnsi="Calibri"/>
          <w:i/>
          <w:sz w:val="24"/>
          <w:szCs w:val="24"/>
          <w:lang w:val="en-GB"/>
        </w:rPr>
        <w:t>could</w:t>
      </w:r>
      <w:r w:rsidR="00D07A66" w:rsidRPr="00D961B9">
        <w:rPr>
          <w:rFonts w:ascii="Calibri" w:hAnsi="Calibri"/>
          <w:sz w:val="24"/>
          <w:szCs w:val="24"/>
          <w:lang w:val="en-GB"/>
        </w:rPr>
        <w:t xml:space="preserve"> be considered as </w:t>
      </w:r>
      <w:r w:rsidR="00BB1078" w:rsidRPr="00D961B9">
        <w:rPr>
          <w:rFonts w:ascii="Calibri" w:hAnsi="Calibri"/>
          <w:sz w:val="24"/>
          <w:szCs w:val="24"/>
          <w:lang w:val="en-GB"/>
        </w:rPr>
        <w:t>affecting only</w:t>
      </w:r>
      <w:r w:rsidR="00D07A66" w:rsidRPr="00D961B9">
        <w:rPr>
          <w:rFonts w:ascii="Calibri" w:hAnsi="Calibri"/>
          <w:sz w:val="24"/>
          <w:szCs w:val="24"/>
          <w:lang w:val="en-GB"/>
        </w:rPr>
        <w:t xml:space="preserve"> 30% of the impact of mining on bird diversity per habitat hectare </w:t>
      </w:r>
      <w:r w:rsidR="00BB1078" w:rsidRPr="00D961B9">
        <w:rPr>
          <w:rFonts w:ascii="Calibri" w:hAnsi="Calibri"/>
          <w:sz w:val="24"/>
          <w:szCs w:val="24"/>
          <w:lang w:val="en-GB"/>
        </w:rPr>
        <w:t xml:space="preserve">rather than 100% </w:t>
      </w:r>
      <w:r w:rsidR="00D07A66" w:rsidRPr="00D961B9">
        <w:rPr>
          <w:rFonts w:ascii="Calibri" w:hAnsi="Calibri"/>
          <w:sz w:val="24"/>
          <w:szCs w:val="24"/>
          <w:lang w:val="en-GB"/>
        </w:rPr>
        <w:t xml:space="preserve">because </w:t>
      </w:r>
      <w:r w:rsidR="00D07A66" w:rsidRPr="00D961B9">
        <w:rPr>
          <w:rFonts w:ascii="Calibri" w:hAnsi="Calibri"/>
          <w:sz w:val="24"/>
          <w:szCs w:val="24"/>
          <w:lang w:val="en-GB"/>
        </w:rPr>
        <w:lastRenderedPageBreak/>
        <w:t>traditional charcoal exploitation causes mainly habitat degradation</w:t>
      </w:r>
      <w:r w:rsidR="00BB1078" w:rsidRPr="00D961B9">
        <w:rPr>
          <w:rFonts w:ascii="Calibri" w:hAnsi="Calibri"/>
          <w:sz w:val="24"/>
          <w:szCs w:val="24"/>
          <w:lang w:val="en-GB"/>
        </w:rPr>
        <w:t xml:space="preserve"> rather than complete deforestation</w:t>
      </w:r>
      <w:r w:rsidR="00D07A66" w:rsidRPr="00D961B9">
        <w:rPr>
          <w:rFonts w:ascii="Calibri" w:hAnsi="Calibri"/>
          <w:sz w:val="24"/>
          <w:szCs w:val="24"/>
          <w:lang w:val="en-GB"/>
        </w:rPr>
        <w:t xml:space="preserve">. </w:t>
      </w:r>
      <w:r w:rsidR="00F4327F" w:rsidRPr="00D961B9">
        <w:rPr>
          <w:rFonts w:ascii="Calibri" w:hAnsi="Calibri"/>
          <w:sz w:val="24"/>
          <w:szCs w:val="24"/>
          <w:lang w:val="en-GB"/>
        </w:rPr>
        <w:t>In summary</w:t>
      </w:r>
      <w:r w:rsidRPr="00D961B9">
        <w:rPr>
          <w:rFonts w:ascii="Calibri" w:hAnsi="Calibri"/>
          <w:sz w:val="24"/>
          <w:szCs w:val="24"/>
          <w:lang w:val="en-GB"/>
        </w:rPr>
        <w:t>, a “biodiversity con</w:t>
      </w:r>
      <w:r w:rsidR="00360D6A" w:rsidRPr="00D961B9">
        <w:rPr>
          <w:rFonts w:ascii="Calibri" w:hAnsi="Calibri"/>
          <w:sz w:val="24"/>
          <w:szCs w:val="24"/>
          <w:lang w:val="en-GB"/>
        </w:rPr>
        <w:t>vers</w:t>
      </w:r>
      <w:r w:rsidRPr="00D961B9">
        <w:rPr>
          <w:rFonts w:ascii="Calibri" w:hAnsi="Calibri"/>
          <w:sz w:val="24"/>
          <w:szCs w:val="24"/>
          <w:lang w:val="en-GB"/>
        </w:rPr>
        <w:t>ion factor” needs to be applied in the counterfactuals at both the mining and offset site</w:t>
      </w:r>
      <w:r w:rsidR="00F4327F" w:rsidRPr="00D961B9">
        <w:rPr>
          <w:rFonts w:ascii="Calibri" w:hAnsi="Calibri"/>
          <w:sz w:val="24"/>
          <w:szCs w:val="24"/>
          <w:lang w:val="en-GB"/>
        </w:rPr>
        <w:t xml:space="preserve"> for each biodiversity attribute</w:t>
      </w:r>
      <w:r w:rsidR="00D07A66" w:rsidRPr="00D961B9">
        <w:rPr>
          <w:rFonts w:ascii="Calibri" w:hAnsi="Calibri"/>
          <w:sz w:val="24"/>
          <w:szCs w:val="24"/>
          <w:lang w:val="en-GB"/>
        </w:rPr>
        <w:t xml:space="preserve"> (see formula 2)</w:t>
      </w:r>
      <w:r w:rsidRPr="00D961B9">
        <w:rPr>
          <w:rFonts w:ascii="Calibri" w:hAnsi="Calibri"/>
          <w:sz w:val="24"/>
          <w:szCs w:val="24"/>
          <w:lang w:val="en-GB"/>
        </w:rPr>
        <w:t xml:space="preserve">. </w:t>
      </w:r>
    </w:p>
    <w:p w14:paraId="3E3187C9" w14:textId="46A19154" w:rsidR="00696315" w:rsidRPr="00D961B9" w:rsidRDefault="00BC7D16" w:rsidP="00454AC4">
      <w:pPr>
        <w:pStyle w:val="Heading1"/>
        <w:rPr>
          <w:rFonts w:ascii="Calibri" w:eastAsiaTheme="minorHAnsi" w:hAnsi="Calibri" w:cstheme="minorBidi"/>
          <w:sz w:val="24"/>
          <w:szCs w:val="24"/>
          <w:lang w:val="en-GB"/>
        </w:rPr>
      </w:pPr>
      <w:r w:rsidRPr="00D961B9">
        <w:rPr>
          <w:rFonts w:ascii="Calibri" w:eastAsiaTheme="minorHAnsi" w:hAnsi="Calibri" w:cstheme="minorBidi"/>
          <w:bCs w:val="0"/>
          <w:color w:val="auto"/>
          <w:sz w:val="24"/>
          <w:szCs w:val="24"/>
          <w:lang w:val="en-GB"/>
        </w:rPr>
        <w:t>4</w:t>
      </w:r>
      <w:r w:rsidR="000A22AD" w:rsidRPr="00D961B9">
        <w:rPr>
          <w:rFonts w:ascii="Calibri" w:eastAsiaTheme="minorHAnsi" w:hAnsi="Calibri" w:cstheme="minorBidi"/>
          <w:bCs w:val="0"/>
          <w:color w:val="auto"/>
          <w:sz w:val="24"/>
          <w:szCs w:val="24"/>
          <w:lang w:val="en-GB"/>
        </w:rPr>
        <w:t xml:space="preserve"> </w:t>
      </w:r>
      <w:r w:rsidR="00454AC4" w:rsidRPr="00D961B9">
        <w:rPr>
          <w:rFonts w:ascii="Calibri" w:eastAsiaTheme="minorHAnsi" w:hAnsi="Calibri" w:cstheme="minorBidi"/>
          <w:bCs w:val="0"/>
          <w:color w:val="auto"/>
          <w:sz w:val="24"/>
          <w:szCs w:val="24"/>
          <w:lang w:val="en-GB"/>
        </w:rPr>
        <w:t>E</w:t>
      </w:r>
      <w:r w:rsidR="000371CE" w:rsidRPr="00D961B9">
        <w:rPr>
          <w:rFonts w:ascii="Calibri" w:eastAsiaTheme="minorHAnsi" w:hAnsi="Calibri" w:cstheme="minorBidi"/>
          <w:bCs w:val="0"/>
          <w:color w:val="auto"/>
          <w:sz w:val="24"/>
          <w:szCs w:val="24"/>
          <w:lang w:val="en-GB"/>
        </w:rPr>
        <w:t>ffectiveness</w:t>
      </w:r>
      <w:r w:rsidR="0003730B" w:rsidRPr="00D961B9">
        <w:rPr>
          <w:rFonts w:ascii="Calibri" w:eastAsiaTheme="minorHAnsi" w:hAnsi="Calibri" w:cstheme="minorBidi"/>
          <w:bCs w:val="0"/>
          <w:color w:val="auto"/>
          <w:sz w:val="24"/>
          <w:szCs w:val="24"/>
          <w:lang w:val="en-GB"/>
        </w:rPr>
        <w:t xml:space="preserve"> of </w:t>
      </w:r>
      <w:r w:rsidR="0033780B" w:rsidRPr="00D961B9">
        <w:rPr>
          <w:rFonts w:ascii="Calibri" w:eastAsiaTheme="minorHAnsi" w:hAnsi="Calibri" w:cstheme="minorBidi"/>
          <w:bCs w:val="0"/>
          <w:color w:val="auto"/>
          <w:sz w:val="24"/>
          <w:szCs w:val="24"/>
          <w:lang w:val="en-GB"/>
        </w:rPr>
        <w:t xml:space="preserve">biodiversity conservation/interventions </w:t>
      </w:r>
    </w:p>
    <w:p w14:paraId="0D32F746" w14:textId="26D6FF69" w:rsidR="000371CE" w:rsidRPr="00D961B9" w:rsidRDefault="0037029D" w:rsidP="004C2062">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D</w:t>
      </w:r>
      <w:r w:rsidR="00DA4BD8" w:rsidRPr="00D961B9">
        <w:rPr>
          <w:rFonts w:ascii="Calibri" w:hAnsi="Calibri"/>
          <w:sz w:val="24"/>
          <w:szCs w:val="24"/>
          <w:lang w:val="en-GB"/>
        </w:rPr>
        <w:t>etermin</w:t>
      </w:r>
      <w:r w:rsidRPr="00D961B9">
        <w:rPr>
          <w:rFonts w:ascii="Calibri" w:hAnsi="Calibri"/>
          <w:sz w:val="24"/>
          <w:szCs w:val="24"/>
          <w:lang w:val="en-GB"/>
        </w:rPr>
        <w:t>ing a</w:t>
      </w:r>
      <w:r w:rsidR="00DA4BD8" w:rsidRPr="00D961B9">
        <w:rPr>
          <w:rFonts w:ascii="Calibri" w:hAnsi="Calibri"/>
          <w:sz w:val="24"/>
          <w:szCs w:val="24"/>
          <w:lang w:val="en-GB"/>
        </w:rPr>
        <w:t xml:space="preserve"> plausible</w:t>
      </w:r>
      <w:r w:rsidR="00D2196C" w:rsidRPr="00D961B9">
        <w:rPr>
          <w:rFonts w:ascii="Calibri" w:hAnsi="Calibri"/>
          <w:sz w:val="24"/>
          <w:szCs w:val="24"/>
          <w:lang w:val="en-GB"/>
        </w:rPr>
        <w:t xml:space="preserve"> </w:t>
      </w:r>
      <w:r w:rsidR="004456B6" w:rsidRPr="00D961B9">
        <w:rPr>
          <w:rFonts w:ascii="Calibri" w:hAnsi="Calibri"/>
          <w:sz w:val="24"/>
          <w:szCs w:val="24"/>
          <w:lang w:val="en-GB"/>
        </w:rPr>
        <w:t xml:space="preserve">range of </w:t>
      </w:r>
      <w:r w:rsidR="003B55B7" w:rsidRPr="00D961B9">
        <w:rPr>
          <w:rFonts w:ascii="Calibri" w:hAnsi="Calibri"/>
          <w:sz w:val="24"/>
          <w:szCs w:val="24"/>
          <w:lang w:val="en-GB"/>
        </w:rPr>
        <w:t>counterfactual</w:t>
      </w:r>
      <w:r w:rsidR="00454AC4" w:rsidRPr="00D961B9">
        <w:rPr>
          <w:rFonts w:ascii="Calibri" w:hAnsi="Calibri"/>
          <w:sz w:val="24"/>
          <w:szCs w:val="24"/>
          <w:lang w:val="en-GB"/>
        </w:rPr>
        <w:t xml:space="preserve"> </w:t>
      </w:r>
      <w:r w:rsidRPr="00D961B9">
        <w:rPr>
          <w:rFonts w:ascii="Calibri" w:hAnsi="Calibri"/>
          <w:sz w:val="24"/>
          <w:szCs w:val="24"/>
          <w:lang w:val="en-GB"/>
        </w:rPr>
        <w:t>scenarios</w:t>
      </w:r>
      <w:r w:rsidR="00DA4BD8" w:rsidRPr="00D961B9">
        <w:rPr>
          <w:rFonts w:ascii="Calibri" w:hAnsi="Calibri"/>
          <w:sz w:val="24"/>
          <w:szCs w:val="24"/>
          <w:lang w:val="en-GB"/>
        </w:rPr>
        <w:t xml:space="preserve"> </w:t>
      </w:r>
      <w:r w:rsidR="00685473" w:rsidRPr="00D961B9">
        <w:rPr>
          <w:rFonts w:ascii="Calibri" w:hAnsi="Calibri"/>
          <w:sz w:val="24"/>
          <w:szCs w:val="24"/>
          <w:lang w:val="en-GB"/>
        </w:rPr>
        <w:t xml:space="preserve">for </w:t>
      </w:r>
      <w:r w:rsidR="003B55B7" w:rsidRPr="00D961B9">
        <w:rPr>
          <w:rFonts w:ascii="Calibri" w:hAnsi="Calibri"/>
          <w:sz w:val="24"/>
          <w:szCs w:val="24"/>
          <w:lang w:val="en-GB"/>
        </w:rPr>
        <w:t>different</w:t>
      </w:r>
      <w:r w:rsidR="00DA4BD8" w:rsidRPr="00D961B9">
        <w:rPr>
          <w:rFonts w:ascii="Calibri" w:hAnsi="Calibri"/>
          <w:sz w:val="24"/>
          <w:szCs w:val="24"/>
          <w:lang w:val="en-GB"/>
        </w:rPr>
        <w:t xml:space="preserve"> biodiversity attributes</w:t>
      </w:r>
      <w:r w:rsidRPr="00D961B9">
        <w:rPr>
          <w:rFonts w:ascii="Calibri" w:hAnsi="Calibri"/>
          <w:sz w:val="24"/>
          <w:szCs w:val="24"/>
          <w:lang w:val="en-GB"/>
        </w:rPr>
        <w:t xml:space="preserve"> </w:t>
      </w:r>
      <w:r w:rsidR="00685473" w:rsidRPr="00D961B9">
        <w:rPr>
          <w:rFonts w:ascii="Calibri" w:hAnsi="Calibri"/>
          <w:sz w:val="24"/>
          <w:szCs w:val="24"/>
          <w:lang w:val="en-GB"/>
        </w:rPr>
        <w:t xml:space="preserve">should </w:t>
      </w:r>
      <w:r w:rsidRPr="00D961B9">
        <w:rPr>
          <w:rFonts w:ascii="Calibri" w:hAnsi="Calibri"/>
          <w:sz w:val="24"/>
          <w:szCs w:val="24"/>
          <w:lang w:val="en-GB"/>
        </w:rPr>
        <w:t xml:space="preserve">provide a picture of the maximum attainable benefits in </w:t>
      </w:r>
      <w:r w:rsidR="009A1FE4" w:rsidRPr="00D961B9">
        <w:rPr>
          <w:rFonts w:ascii="Calibri" w:hAnsi="Calibri"/>
          <w:sz w:val="24"/>
          <w:szCs w:val="24"/>
          <w:lang w:val="en-GB"/>
        </w:rPr>
        <w:t>an</w:t>
      </w:r>
      <w:r w:rsidRPr="00D961B9">
        <w:rPr>
          <w:rFonts w:ascii="Calibri" w:hAnsi="Calibri"/>
          <w:sz w:val="24"/>
          <w:szCs w:val="24"/>
          <w:lang w:val="en-GB"/>
        </w:rPr>
        <w:t xml:space="preserve"> offsite project area where compensatory </w:t>
      </w:r>
      <w:r w:rsidR="0041398B" w:rsidRPr="00D961B9">
        <w:rPr>
          <w:rFonts w:ascii="Calibri" w:hAnsi="Calibri"/>
          <w:sz w:val="24"/>
          <w:szCs w:val="24"/>
          <w:lang w:val="en-GB"/>
        </w:rPr>
        <w:t>“</w:t>
      </w:r>
      <w:r w:rsidRPr="00D961B9">
        <w:rPr>
          <w:rFonts w:ascii="Calibri" w:hAnsi="Calibri"/>
          <w:sz w:val="24"/>
          <w:szCs w:val="24"/>
          <w:lang w:val="en-GB"/>
        </w:rPr>
        <w:t>offset</w:t>
      </w:r>
      <w:r w:rsidR="0041398B" w:rsidRPr="00D961B9">
        <w:rPr>
          <w:rFonts w:ascii="Calibri" w:hAnsi="Calibri"/>
          <w:sz w:val="24"/>
          <w:szCs w:val="24"/>
          <w:lang w:val="en-GB"/>
        </w:rPr>
        <w:t>”</w:t>
      </w:r>
      <w:r w:rsidRPr="00D961B9">
        <w:rPr>
          <w:rFonts w:ascii="Calibri" w:hAnsi="Calibri"/>
          <w:sz w:val="24"/>
          <w:szCs w:val="24"/>
          <w:lang w:val="en-GB"/>
        </w:rPr>
        <w:t xml:space="preserve"> activities are implemented. If, for example, </w:t>
      </w:r>
      <w:r w:rsidR="00454AC4" w:rsidRPr="00D961B9">
        <w:rPr>
          <w:rFonts w:ascii="Calibri" w:hAnsi="Calibri"/>
          <w:sz w:val="24"/>
          <w:szCs w:val="24"/>
          <w:lang w:val="en-GB"/>
        </w:rPr>
        <w:t>counterfactual deforestation</w:t>
      </w:r>
      <w:r w:rsidRPr="00D961B9">
        <w:rPr>
          <w:rFonts w:ascii="Calibri" w:hAnsi="Calibri"/>
          <w:sz w:val="24"/>
          <w:szCs w:val="24"/>
          <w:lang w:val="en-GB"/>
        </w:rPr>
        <w:t xml:space="preserve"> was optimally controlled, then the intervention would prevent 100% of the </w:t>
      </w:r>
      <w:r w:rsidR="00910AD1" w:rsidRPr="00D961B9">
        <w:rPr>
          <w:rFonts w:ascii="Calibri" w:hAnsi="Calibri"/>
          <w:sz w:val="24"/>
          <w:szCs w:val="24"/>
          <w:lang w:val="en-GB"/>
        </w:rPr>
        <w:t>counterfactual</w:t>
      </w:r>
      <w:r w:rsidRPr="00D961B9">
        <w:rPr>
          <w:rFonts w:ascii="Calibri" w:hAnsi="Calibri"/>
          <w:sz w:val="24"/>
          <w:szCs w:val="24"/>
          <w:lang w:val="en-GB"/>
        </w:rPr>
        <w:t xml:space="preserve"> habitat loss. In reality, however, implementation success will rarely be 100%</w:t>
      </w:r>
      <w:r w:rsidR="00DA4BD8" w:rsidRPr="00D961B9">
        <w:rPr>
          <w:rFonts w:ascii="Calibri" w:hAnsi="Calibri"/>
          <w:sz w:val="24"/>
          <w:szCs w:val="24"/>
          <w:lang w:val="en-GB"/>
        </w:rPr>
        <w:t>.</w:t>
      </w:r>
      <w:r w:rsidR="004027CF" w:rsidRPr="00D961B9">
        <w:rPr>
          <w:rFonts w:ascii="Calibri" w:hAnsi="Calibri"/>
          <w:sz w:val="24"/>
          <w:szCs w:val="24"/>
          <w:lang w:val="en-GB"/>
        </w:rPr>
        <w:t xml:space="preserve"> </w:t>
      </w:r>
    </w:p>
    <w:p w14:paraId="7744F651" w14:textId="77777777" w:rsidR="00DA4BD8" w:rsidRPr="00D961B9" w:rsidRDefault="00DA4BD8" w:rsidP="004C2062">
      <w:pPr>
        <w:autoSpaceDE w:val="0"/>
        <w:autoSpaceDN w:val="0"/>
        <w:adjustRightInd w:val="0"/>
        <w:spacing w:after="0" w:line="288" w:lineRule="auto"/>
        <w:rPr>
          <w:rFonts w:ascii="Calibri" w:hAnsi="Calibri"/>
          <w:sz w:val="24"/>
          <w:szCs w:val="24"/>
          <w:lang w:val="en-GB"/>
        </w:rPr>
      </w:pPr>
    </w:p>
    <w:p w14:paraId="2BAA82FA" w14:textId="46B8F069" w:rsidR="00C27913" w:rsidRPr="00D961B9" w:rsidRDefault="0037029D" w:rsidP="004C2062">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However, the </w:t>
      </w:r>
      <w:r w:rsidR="0047075D" w:rsidRPr="00D961B9">
        <w:rPr>
          <w:rFonts w:ascii="Calibri" w:hAnsi="Calibri"/>
          <w:sz w:val="24"/>
          <w:szCs w:val="24"/>
          <w:lang w:val="en-GB"/>
        </w:rPr>
        <w:t xml:space="preserve">biodiversity offset </w:t>
      </w:r>
      <w:r w:rsidR="00DA4BD8" w:rsidRPr="00D961B9">
        <w:rPr>
          <w:rFonts w:ascii="Calibri" w:hAnsi="Calibri"/>
          <w:sz w:val="24"/>
          <w:szCs w:val="24"/>
          <w:lang w:val="en-GB"/>
        </w:rPr>
        <w:t>case studies</w:t>
      </w:r>
      <w:r w:rsidR="004027CF" w:rsidRPr="00D961B9">
        <w:rPr>
          <w:rFonts w:ascii="Calibri" w:hAnsi="Calibri"/>
          <w:sz w:val="24"/>
          <w:szCs w:val="24"/>
          <w:lang w:val="en-GB"/>
        </w:rPr>
        <w:t xml:space="preserve"> </w:t>
      </w:r>
      <w:r w:rsidR="000A22AD" w:rsidRPr="00D961B9">
        <w:rPr>
          <w:rFonts w:ascii="Calibri" w:hAnsi="Calibri"/>
          <w:sz w:val="24"/>
          <w:szCs w:val="24"/>
          <w:lang w:val="en-GB"/>
        </w:rPr>
        <w:t xml:space="preserve">(Table A.1) </w:t>
      </w:r>
      <w:r w:rsidRPr="00D961B9">
        <w:rPr>
          <w:rFonts w:ascii="Calibri" w:hAnsi="Calibri"/>
          <w:sz w:val="24"/>
          <w:szCs w:val="24"/>
          <w:lang w:val="en-GB"/>
        </w:rPr>
        <w:t>assessed here do not</w:t>
      </w:r>
      <w:r w:rsidR="00DA4BD8" w:rsidRPr="00D961B9">
        <w:rPr>
          <w:rFonts w:ascii="Calibri" w:hAnsi="Calibri"/>
          <w:sz w:val="24"/>
          <w:szCs w:val="24"/>
          <w:lang w:val="en-GB"/>
        </w:rPr>
        <w:t xml:space="preserve"> </w:t>
      </w:r>
      <w:r w:rsidR="00910F18" w:rsidRPr="00D961B9">
        <w:rPr>
          <w:rFonts w:ascii="Calibri" w:hAnsi="Calibri"/>
          <w:sz w:val="24"/>
          <w:szCs w:val="24"/>
          <w:lang w:val="en-GB"/>
        </w:rPr>
        <w:t>implicitly</w:t>
      </w:r>
      <w:r w:rsidRPr="00D961B9">
        <w:rPr>
          <w:rFonts w:ascii="Calibri" w:hAnsi="Calibri"/>
          <w:sz w:val="24"/>
          <w:szCs w:val="24"/>
          <w:lang w:val="en-GB"/>
        </w:rPr>
        <w:t xml:space="preserve"> consider </w:t>
      </w:r>
      <w:r w:rsidR="00685473" w:rsidRPr="00D961B9">
        <w:rPr>
          <w:rFonts w:ascii="Calibri" w:hAnsi="Calibri"/>
          <w:sz w:val="24"/>
          <w:szCs w:val="24"/>
          <w:lang w:val="en-GB"/>
        </w:rPr>
        <w:t>the degree of implementation success that may be expected</w:t>
      </w:r>
      <w:r w:rsidRPr="00D961B9">
        <w:rPr>
          <w:rFonts w:ascii="Calibri" w:hAnsi="Calibri"/>
          <w:sz w:val="24"/>
          <w:szCs w:val="24"/>
          <w:lang w:val="en-GB"/>
        </w:rPr>
        <w:t>. Instead, the proponents of these projects assume an</w:t>
      </w:r>
      <w:r w:rsidR="00D01AB6" w:rsidRPr="00D961B9">
        <w:rPr>
          <w:rFonts w:ascii="Calibri" w:hAnsi="Calibri"/>
          <w:sz w:val="24"/>
          <w:szCs w:val="24"/>
          <w:lang w:val="en-GB"/>
        </w:rPr>
        <w:t xml:space="preserve"> </w:t>
      </w:r>
      <w:r w:rsidR="00DA02C6" w:rsidRPr="00D961B9">
        <w:rPr>
          <w:rFonts w:ascii="Calibri" w:hAnsi="Calibri"/>
          <w:sz w:val="24"/>
          <w:szCs w:val="24"/>
          <w:lang w:val="en-GB"/>
        </w:rPr>
        <w:t>effectiveness</w:t>
      </w:r>
      <w:r w:rsidR="00BC5F5D" w:rsidRPr="00D961B9">
        <w:rPr>
          <w:rFonts w:ascii="Calibri" w:hAnsi="Calibri"/>
          <w:sz w:val="24"/>
          <w:szCs w:val="24"/>
          <w:lang w:val="en-GB"/>
        </w:rPr>
        <w:t xml:space="preserve"> </w:t>
      </w:r>
      <w:r w:rsidRPr="00D961B9">
        <w:rPr>
          <w:rFonts w:ascii="Calibri" w:hAnsi="Calibri"/>
          <w:sz w:val="24"/>
          <w:szCs w:val="24"/>
          <w:lang w:val="en-GB"/>
        </w:rPr>
        <w:t>of 100% in preventing biodiversity losses</w:t>
      </w:r>
      <w:r w:rsidR="00D01AB6" w:rsidRPr="00D961B9">
        <w:rPr>
          <w:rFonts w:ascii="Calibri" w:hAnsi="Calibri"/>
          <w:sz w:val="24"/>
          <w:szCs w:val="24"/>
          <w:lang w:val="en-GB"/>
        </w:rPr>
        <w:t xml:space="preserve"> </w:t>
      </w:r>
      <w:r w:rsidR="00910F18" w:rsidRPr="00D961B9">
        <w:rPr>
          <w:rFonts w:ascii="Calibri" w:hAnsi="Calibri"/>
          <w:sz w:val="24"/>
          <w:szCs w:val="24"/>
          <w:lang w:val="en-GB"/>
        </w:rPr>
        <w:t>compared to the counterfactual</w:t>
      </w:r>
      <w:r w:rsidRPr="00D961B9">
        <w:rPr>
          <w:rFonts w:ascii="Calibri" w:hAnsi="Calibri"/>
          <w:sz w:val="24"/>
          <w:szCs w:val="24"/>
          <w:lang w:val="en-GB"/>
        </w:rPr>
        <w:t xml:space="preserve"> </w:t>
      </w:r>
      <w:r w:rsidR="00D01AB6" w:rsidRPr="00D961B9">
        <w:rPr>
          <w:rFonts w:ascii="Calibri" w:hAnsi="Calibri"/>
          <w:sz w:val="24"/>
          <w:szCs w:val="24"/>
          <w:lang w:val="en-GB"/>
        </w:rPr>
        <w:t>scenario</w:t>
      </w:r>
      <w:r w:rsidR="00DA4BD8" w:rsidRPr="00D961B9">
        <w:rPr>
          <w:rFonts w:ascii="Calibri" w:hAnsi="Calibri"/>
          <w:sz w:val="24"/>
          <w:szCs w:val="24"/>
          <w:lang w:val="en-GB"/>
        </w:rPr>
        <w:t xml:space="preserve">. </w:t>
      </w:r>
      <w:r w:rsidR="009A1FE4" w:rsidRPr="00D961B9">
        <w:rPr>
          <w:rFonts w:ascii="Calibri" w:hAnsi="Calibri"/>
          <w:sz w:val="24"/>
          <w:szCs w:val="24"/>
          <w:lang w:val="en-GB"/>
        </w:rPr>
        <w:t xml:space="preserve">Arguably it is not possible to forecast the future success of an intervention with a very high level of confidence, especially in a complex biodiversity setting. </w:t>
      </w:r>
      <w:r w:rsidR="00D01AB6" w:rsidRPr="00D961B9">
        <w:rPr>
          <w:rFonts w:ascii="Calibri" w:hAnsi="Calibri"/>
          <w:sz w:val="24"/>
          <w:szCs w:val="24"/>
          <w:lang w:val="en-GB"/>
        </w:rPr>
        <w:t>As such, it would be appropriate to monitor actual performance on an ongoing basis and adjust interventions</w:t>
      </w:r>
      <w:r w:rsidR="009A1FE4" w:rsidRPr="00D961B9">
        <w:rPr>
          <w:rFonts w:ascii="Calibri" w:hAnsi="Calibri"/>
          <w:sz w:val="24"/>
          <w:szCs w:val="24"/>
          <w:lang w:val="en-GB"/>
        </w:rPr>
        <w:t xml:space="preserve">, including the extent of the area under management, to </w:t>
      </w:r>
      <w:r w:rsidR="00685473" w:rsidRPr="00D961B9">
        <w:rPr>
          <w:rFonts w:ascii="Calibri" w:hAnsi="Calibri"/>
          <w:sz w:val="24"/>
          <w:szCs w:val="24"/>
          <w:lang w:val="en-GB"/>
        </w:rPr>
        <w:t>verify or otherwise</w:t>
      </w:r>
      <w:r w:rsidR="009A1FE4" w:rsidRPr="00D961B9">
        <w:rPr>
          <w:rFonts w:ascii="Calibri" w:hAnsi="Calibri"/>
          <w:sz w:val="24"/>
          <w:szCs w:val="24"/>
          <w:lang w:val="en-GB"/>
        </w:rPr>
        <w:t xml:space="preserve"> a previously projected result. </w:t>
      </w:r>
    </w:p>
    <w:p w14:paraId="476F8CE8" w14:textId="77777777" w:rsidR="00D01AB6" w:rsidRPr="00D961B9" w:rsidRDefault="00D01AB6" w:rsidP="004C2062">
      <w:pPr>
        <w:autoSpaceDE w:val="0"/>
        <w:autoSpaceDN w:val="0"/>
        <w:adjustRightInd w:val="0"/>
        <w:spacing w:after="0" w:line="288" w:lineRule="auto"/>
        <w:rPr>
          <w:rFonts w:ascii="Calibri" w:hAnsi="Calibri"/>
          <w:sz w:val="24"/>
          <w:szCs w:val="24"/>
          <w:lang w:val="en-GB"/>
        </w:rPr>
      </w:pPr>
    </w:p>
    <w:p w14:paraId="1D7D8330" w14:textId="3C66471E" w:rsidR="00D01AB6" w:rsidRPr="00D961B9" w:rsidRDefault="00080BF9" w:rsidP="004C2062">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During </w:t>
      </w:r>
      <w:r w:rsidR="00685473" w:rsidRPr="00D961B9">
        <w:rPr>
          <w:rFonts w:ascii="Calibri" w:hAnsi="Calibri"/>
          <w:sz w:val="24"/>
          <w:szCs w:val="24"/>
          <w:lang w:val="en-GB"/>
        </w:rPr>
        <w:t xml:space="preserve">offset </w:t>
      </w:r>
      <w:r w:rsidRPr="00D961B9">
        <w:rPr>
          <w:rFonts w:ascii="Calibri" w:hAnsi="Calibri"/>
          <w:sz w:val="24"/>
          <w:szCs w:val="24"/>
          <w:lang w:val="en-GB"/>
        </w:rPr>
        <w:t>project design</w:t>
      </w:r>
      <w:r w:rsidR="00DA02C6" w:rsidRPr="00D961B9">
        <w:rPr>
          <w:rFonts w:ascii="Calibri" w:hAnsi="Calibri"/>
          <w:sz w:val="24"/>
          <w:szCs w:val="24"/>
          <w:lang w:val="en-GB"/>
        </w:rPr>
        <w:t xml:space="preserve">, </w:t>
      </w:r>
      <w:r w:rsidR="00243B4C" w:rsidRPr="00D961B9">
        <w:rPr>
          <w:rFonts w:ascii="Calibri" w:hAnsi="Calibri"/>
          <w:sz w:val="24"/>
          <w:szCs w:val="24"/>
          <w:lang w:val="en-GB"/>
        </w:rPr>
        <w:t xml:space="preserve">it is critical that </w:t>
      </w:r>
      <w:r w:rsidRPr="00D961B9">
        <w:rPr>
          <w:rFonts w:ascii="Calibri" w:hAnsi="Calibri"/>
          <w:sz w:val="24"/>
          <w:szCs w:val="24"/>
          <w:lang w:val="en-GB"/>
        </w:rPr>
        <w:t xml:space="preserve">assumptions and key variables </w:t>
      </w:r>
      <w:r w:rsidR="00243B4C" w:rsidRPr="00D961B9">
        <w:rPr>
          <w:rFonts w:ascii="Calibri" w:hAnsi="Calibri"/>
          <w:sz w:val="24"/>
          <w:szCs w:val="24"/>
          <w:lang w:val="en-GB"/>
        </w:rPr>
        <w:t>concerning</w:t>
      </w:r>
      <w:r w:rsidR="00BC5F5D" w:rsidRPr="00D961B9">
        <w:rPr>
          <w:rFonts w:ascii="Calibri" w:hAnsi="Calibri"/>
          <w:sz w:val="24"/>
          <w:szCs w:val="24"/>
          <w:lang w:val="en-GB"/>
        </w:rPr>
        <w:t xml:space="preserve"> </w:t>
      </w:r>
      <w:r w:rsidRPr="00D961B9">
        <w:rPr>
          <w:rFonts w:ascii="Calibri" w:hAnsi="Calibri"/>
          <w:sz w:val="24"/>
          <w:szCs w:val="24"/>
          <w:lang w:val="en-GB"/>
        </w:rPr>
        <w:t xml:space="preserve">assumed </w:t>
      </w:r>
      <w:r w:rsidR="00BC5F5D" w:rsidRPr="00D961B9">
        <w:rPr>
          <w:rFonts w:ascii="Calibri" w:hAnsi="Calibri"/>
          <w:sz w:val="24"/>
          <w:szCs w:val="24"/>
          <w:lang w:val="en-GB"/>
        </w:rPr>
        <w:t>effectiveness of</w:t>
      </w:r>
      <w:r w:rsidR="00942416" w:rsidRPr="00D961B9">
        <w:rPr>
          <w:rFonts w:ascii="Calibri" w:hAnsi="Calibri"/>
          <w:sz w:val="24"/>
          <w:szCs w:val="24"/>
          <w:lang w:val="en-GB"/>
        </w:rPr>
        <w:t xml:space="preserve"> </w:t>
      </w:r>
      <w:r w:rsidR="00A33757" w:rsidRPr="00D961B9">
        <w:rPr>
          <w:rFonts w:ascii="Calibri" w:hAnsi="Calibri"/>
          <w:sz w:val="24"/>
          <w:szCs w:val="24"/>
          <w:lang w:val="en-GB"/>
        </w:rPr>
        <w:t xml:space="preserve">different management approaches, e.g. </w:t>
      </w:r>
      <w:r w:rsidR="00942416" w:rsidRPr="00D961B9">
        <w:rPr>
          <w:rFonts w:ascii="Calibri" w:hAnsi="Calibri"/>
          <w:sz w:val="24"/>
          <w:szCs w:val="24"/>
          <w:lang w:val="en-GB"/>
        </w:rPr>
        <w:t xml:space="preserve">protection from grazing or shifting agriculture through community managed </w:t>
      </w:r>
      <w:r w:rsidR="00F07A81" w:rsidRPr="00D961B9">
        <w:rPr>
          <w:rFonts w:ascii="Calibri" w:hAnsi="Calibri"/>
          <w:sz w:val="24"/>
          <w:szCs w:val="24"/>
          <w:lang w:val="en-GB"/>
        </w:rPr>
        <w:t xml:space="preserve">protected </w:t>
      </w:r>
      <w:r w:rsidR="00942416" w:rsidRPr="00D961B9">
        <w:rPr>
          <w:rFonts w:ascii="Calibri" w:hAnsi="Calibri"/>
          <w:sz w:val="24"/>
          <w:szCs w:val="24"/>
          <w:lang w:val="en-GB"/>
        </w:rPr>
        <w:t>areas</w:t>
      </w:r>
      <w:r w:rsidRPr="00D961B9">
        <w:rPr>
          <w:rFonts w:ascii="Calibri" w:hAnsi="Calibri"/>
          <w:sz w:val="24"/>
          <w:szCs w:val="24"/>
          <w:lang w:val="en-GB"/>
        </w:rPr>
        <w:t xml:space="preserve"> are</w:t>
      </w:r>
      <w:r w:rsidR="00243B4C" w:rsidRPr="00D961B9">
        <w:rPr>
          <w:rFonts w:ascii="Calibri" w:hAnsi="Calibri"/>
          <w:sz w:val="24"/>
          <w:szCs w:val="24"/>
          <w:lang w:val="en-GB"/>
        </w:rPr>
        <w:t xml:space="preserve"> clearly </w:t>
      </w:r>
      <w:r w:rsidR="0033780B" w:rsidRPr="00D961B9">
        <w:rPr>
          <w:rFonts w:ascii="Calibri" w:hAnsi="Calibri"/>
          <w:sz w:val="24"/>
          <w:szCs w:val="24"/>
          <w:lang w:val="en-GB"/>
        </w:rPr>
        <w:t xml:space="preserve">specified </w:t>
      </w:r>
      <w:r w:rsidR="00D07A66" w:rsidRPr="00D961B9">
        <w:rPr>
          <w:rFonts w:ascii="Calibri" w:hAnsi="Calibri"/>
          <w:sz w:val="24"/>
          <w:szCs w:val="24"/>
          <w:lang w:val="en-GB"/>
        </w:rPr>
        <w:t xml:space="preserve">(see formula 2) </w:t>
      </w:r>
      <w:r w:rsidR="0033780B" w:rsidRPr="00D961B9">
        <w:rPr>
          <w:rFonts w:ascii="Calibri" w:hAnsi="Calibri"/>
          <w:sz w:val="24"/>
          <w:szCs w:val="24"/>
          <w:lang w:val="en-GB"/>
        </w:rPr>
        <w:t xml:space="preserve">and a monitoring plan for </w:t>
      </w:r>
      <w:r w:rsidR="00F07A81" w:rsidRPr="00D961B9">
        <w:rPr>
          <w:rFonts w:ascii="Calibri" w:hAnsi="Calibri"/>
          <w:sz w:val="24"/>
          <w:szCs w:val="24"/>
          <w:lang w:val="en-GB"/>
        </w:rPr>
        <w:t>the targeted biodiversity attributes</w:t>
      </w:r>
      <w:r w:rsidR="0033780B" w:rsidRPr="00D961B9">
        <w:rPr>
          <w:rFonts w:ascii="Calibri" w:hAnsi="Calibri"/>
          <w:sz w:val="24"/>
          <w:szCs w:val="24"/>
          <w:lang w:val="en-GB"/>
        </w:rPr>
        <w:t xml:space="preserve"> is developed</w:t>
      </w:r>
      <w:r w:rsidR="00243B4C" w:rsidRPr="00D961B9">
        <w:rPr>
          <w:rFonts w:ascii="Calibri" w:hAnsi="Calibri"/>
          <w:sz w:val="24"/>
          <w:szCs w:val="24"/>
          <w:lang w:val="en-GB"/>
        </w:rPr>
        <w:t xml:space="preserve">. </w:t>
      </w:r>
      <w:r w:rsidR="00113842" w:rsidRPr="00D961B9">
        <w:rPr>
          <w:rFonts w:ascii="Calibri" w:hAnsi="Calibri"/>
          <w:sz w:val="24"/>
          <w:szCs w:val="24"/>
          <w:lang w:val="en-GB"/>
        </w:rPr>
        <w:t xml:space="preserve">Thus, as we </w:t>
      </w:r>
      <w:r w:rsidR="00685473" w:rsidRPr="00D961B9">
        <w:rPr>
          <w:rFonts w:ascii="Calibri" w:hAnsi="Calibri"/>
          <w:sz w:val="24"/>
          <w:szCs w:val="24"/>
          <w:lang w:val="en-GB"/>
        </w:rPr>
        <w:t xml:space="preserve">have </w:t>
      </w:r>
      <w:r w:rsidR="00113842" w:rsidRPr="00D961B9">
        <w:rPr>
          <w:rFonts w:ascii="Calibri" w:hAnsi="Calibri"/>
          <w:sz w:val="24"/>
          <w:szCs w:val="24"/>
          <w:lang w:val="en-GB"/>
        </w:rPr>
        <w:t xml:space="preserve">discussed, it is critical that biodiversity attributes are not always collapsed into one single unit as biodiversity attributes will differ in response to </w:t>
      </w:r>
      <w:r w:rsidR="007C3AFE" w:rsidRPr="00D961B9">
        <w:rPr>
          <w:rFonts w:ascii="Calibri" w:hAnsi="Calibri"/>
          <w:sz w:val="24"/>
          <w:szCs w:val="24"/>
          <w:lang w:val="en-GB"/>
        </w:rPr>
        <w:t xml:space="preserve">different </w:t>
      </w:r>
      <w:r w:rsidR="00113842" w:rsidRPr="00D961B9">
        <w:rPr>
          <w:rFonts w:ascii="Calibri" w:hAnsi="Calibri"/>
          <w:sz w:val="24"/>
          <w:szCs w:val="24"/>
          <w:lang w:val="en-GB"/>
        </w:rPr>
        <w:t>management practices</w:t>
      </w:r>
      <w:r w:rsidR="00F4327F" w:rsidRPr="00D961B9">
        <w:rPr>
          <w:rFonts w:ascii="Calibri" w:hAnsi="Calibri"/>
          <w:sz w:val="24"/>
          <w:szCs w:val="24"/>
          <w:lang w:val="en-GB"/>
        </w:rPr>
        <w:t xml:space="preserve">, and different </w:t>
      </w:r>
      <w:r w:rsidR="007C3AFE" w:rsidRPr="00D961B9">
        <w:rPr>
          <w:rFonts w:ascii="Calibri" w:hAnsi="Calibri"/>
          <w:sz w:val="24"/>
          <w:szCs w:val="24"/>
          <w:lang w:val="en-GB"/>
        </w:rPr>
        <w:t>expectations</w:t>
      </w:r>
      <w:r w:rsidR="00F4327F" w:rsidRPr="00D961B9">
        <w:rPr>
          <w:rFonts w:ascii="Calibri" w:hAnsi="Calibri"/>
          <w:sz w:val="24"/>
          <w:szCs w:val="24"/>
          <w:lang w:val="en-GB"/>
        </w:rPr>
        <w:t xml:space="preserve"> of effectiveness may need to </w:t>
      </w:r>
      <w:r w:rsidR="007C3AFE" w:rsidRPr="00D961B9">
        <w:rPr>
          <w:rFonts w:ascii="Calibri" w:hAnsi="Calibri"/>
          <w:sz w:val="24"/>
          <w:szCs w:val="24"/>
          <w:lang w:val="en-GB"/>
        </w:rPr>
        <w:t xml:space="preserve">be </w:t>
      </w:r>
      <w:r w:rsidR="00F4327F" w:rsidRPr="00D961B9">
        <w:rPr>
          <w:rFonts w:ascii="Calibri" w:hAnsi="Calibri"/>
          <w:sz w:val="24"/>
          <w:szCs w:val="24"/>
          <w:lang w:val="en-GB"/>
        </w:rPr>
        <w:t>appl</w:t>
      </w:r>
      <w:r w:rsidR="007C3AFE" w:rsidRPr="00D961B9">
        <w:rPr>
          <w:rFonts w:ascii="Calibri" w:hAnsi="Calibri"/>
          <w:sz w:val="24"/>
          <w:szCs w:val="24"/>
          <w:lang w:val="en-GB"/>
        </w:rPr>
        <w:t>ied</w:t>
      </w:r>
      <w:r w:rsidR="00F4327F" w:rsidRPr="00D961B9">
        <w:rPr>
          <w:rFonts w:ascii="Calibri" w:hAnsi="Calibri"/>
          <w:sz w:val="24"/>
          <w:szCs w:val="24"/>
          <w:lang w:val="en-GB"/>
        </w:rPr>
        <w:t xml:space="preserve"> to different biodiversity attributes</w:t>
      </w:r>
      <w:r w:rsidR="007C3AFE" w:rsidRPr="00D961B9">
        <w:rPr>
          <w:rFonts w:ascii="Calibri" w:hAnsi="Calibri"/>
          <w:sz w:val="24"/>
          <w:szCs w:val="24"/>
          <w:lang w:val="en-GB"/>
        </w:rPr>
        <w:t xml:space="preserve"> i.e. a precautionary approach should be adopted</w:t>
      </w:r>
      <w:r w:rsidR="00113842" w:rsidRPr="00D961B9">
        <w:rPr>
          <w:rFonts w:ascii="Calibri" w:hAnsi="Calibri"/>
          <w:sz w:val="24"/>
          <w:szCs w:val="24"/>
          <w:lang w:val="en-GB"/>
        </w:rPr>
        <w:t xml:space="preserve">. </w:t>
      </w:r>
    </w:p>
    <w:p w14:paraId="731E9948" w14:textId="77777777" w:rsidR="00F4327F" w:rsidRPr="00D961B9" w:rsidRDefault="00F4327F" w:rsidP="004C2062">
      <w:pPr>
        <w:autoSpaceDE w:val="0"/>
        <w:autoSpaceDN w:val="0"/>
        <w:adjustRightInd w:val="0"/>
        <w:spacing w:after="0" w:line="288" w:lineRule="auto"/>
        <w:rPr>
          <w:rFonts w:ascii="Calibri" w:hAnsi="Calibri"/>
          <w:sz w:val="24"/>
          <w:szCs w:val="24"/>
          <w:lang w:val="en-GB"/>
        </w:rPr>
      </w:pPr>
    </w:p>
    <w:p w14:paraId="77EB5EFB" w14:textId="15A6A82E" w:rsidR="00F4327F" w:rsidRPr="00D961B9" w:rsidRDefault="00F4327F" w:rsidP="004C2062">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In general, offset plans should assume a sub-optimal success rate and compensate this, for example, through a larger area of habitat </w:t>
      </w:r>
      <w:r w:rsidR="007C3AFE" w:rsidRPr="00D961B9">
        <w:rPr>
          <w:rFonts w:ascii="Calibri" w:hAnsi="Calibri"/>
          <w:sz w:val="24"/>
          <w:szCs w:val="24"/>
          <w:lang w:val="en-GB"/>
        </w:rPr>
        <w:t xml:space="preserve">being </w:t>
      </w:r>
      <w:r w:rsidRPr="00D961B9">
        <w:rPr>
          <w:rFonts w:ascii="Calibri" w:hAnsi="Calibri"/>
          <w:sz w:val="24"/>
          <w:szCs w:val="24"/>
          <w:lang w:val="en-GB"/>
        </w:rPr>
        <w:t xml:space="preserve">put under protection. If, for example, an offset program needed to achieve a reduction of counterfactual deforestation by 1,000 ha, then it may be prudent </w:t>
      </w:r>
      <w:r w:rsidR="007C3AFE" w:rsidRPr="00D961B9">
        <w:rPr>
          <w:rFonts w:ascii="Calibri" w:hAnsi="Calibri"/>
          <w:sz w:val="24"/>
          <w:szCs w:val="24"/>
          <w:lang w:val="en-GB"/>
        </w:rPr>
        <w:t xml:space="preserve">as a precautionary approach, </w:t>
      </w:r>
      <w:r w:rsidRPr="00D961B9">
        <w:rPr>
          <w:rFonts w:ascii="Calibri" w:hAnsi="Calibri"/>
          <w:sz w:val="24"/>
          <w:szCs w:val="24"/>
          <w:lang w:val="en-GB"/>
        </w:rPr>
        <w:t>to target an area of, say, 2,000 ha and assume a 50% conservation success rate, depending on implementation</w:t>
      </w:r>
      <w:r w:rsidR="007C3AFE" w:rsidRPr="00D961B9">
        <w:rPr>
          <w:rFonts w:ascii="Calibri" w:hAnsi="Calibri"/>
          <w:sz w:val="24"/>
          <w:szCs w:val="24"/>
          <w:lang w:val="en-GB"/>
        </w:rPr>
        <w:t>,</w:t>
      </w:r>
      <w:r w:rsidRPr="00D961B9">
        <w:rPr>
          <w:rFonts w:ascii="Calibri" w:hAnsi="Calibri"/>
          <w:sz w:val="24"/>
          <w:szCs w:val="24"/>
          <w:lang w:val="en-GB"/>
        </w:rPr>
        <w:t xml:space="preserve"> complexity and </w:t>
      </w:r>
      <w:r w:rsidR="007C3AFE" w:rsidRPr="00D961B9">
        <w:rPr>
          <w:rFonts w:ascii="Calibri" w:hAnsi="Calibri"/>
          <w:sz w:val="24"/>
          <w:szCs w:val="24"/>
          <w:lang w:val="en-GB"/>
        </w:rPr>
        <w:t>degrees</w:t>
      </w:r>
      <w:r w:rsidRPr="00D961B9">
        <w:rPr>
          <w:rFonts w:ascii="Calibri" w:hAnsi="Calibri"/>
          <w:sz w:val="24"/>
          <w:szCs w:val="24"/>
          <w:lang w:val="en-GB"/>
        </w:rPr>
        <w:t xml:space="preserve"> of risk that </w:t>
      </w:r>
      <w:r w:rsidR="007C3AFE" w:rsidRPr="00D961B9">
        <w:rPr>
          <w:rFonts w:ascii="Calibri" w:hAnsi="Calibri"/>
          <w:sz w:val="24"/>
          <w:szCs w:val="24"/>
          <w:lang w:val="en-GB"/>
        </w:rPr>
        <w:t>are</w:t>
      </w:r>
      <w:r w:rsidRPr="00D961B9">
        <w:rPr>
          <w:rFonts w:ascii="Calibri" w:hAnsi="Calibri"/>
          <w:sz w:val="24"/>
          <w:szCs w:val="24"/>
          <w:lang w:val="en-GB"/>
        </w:rPr>
        <w:t xml:space="preserve"> deemed necessary. The same approach could be used for other biodiversity attributes, e.g. population of a species. When, for example, dealing with the uncertainty of recovery of an endangered species, it may be best to apply an even </w:t>
      </w:r>
      <w:r w:rsidR="007C3AFE" w:rsidRPr="00D961B9">
        <w:rPr>
          <w:rFonts w:ascii="Calibri" w:hAnsi="Calibri"/>
          <w:sz w:val="24"/>
          <w:szCs w:val="24"/>
          <w:lang w:val="en-GB"/>
        </w:rPr>
        <w:t xml:space="preserve">more </w:t>
      </w:r>
      <w:r w:rsidRPr="00D961B9">
        <w:rPr>
          <w:rFonts w:ascii="Calibri" w:hAnsi="Calibri"/>
          <w:sz w:val="24"/>
          <w:szCs w:val="24"/>
          <w:lang w:val="en-GB"/>
        </w:rPr>
        <w:t xml:space="preserve">precautionary </w:t>
      </w:r>
      <w:r w:rsidR="007C3AFE" w:rsidRPr="00D961B9">
        <w:rPr>
          <w:rFonts w:ascii="Calibri" w:hAnsi="Calibri"/>
          <w:sz w:val="24"/>
          <w:szCs w:val="24"/>
          <w:lang w:val="en-GB"/>
        </w:rPr>
        <w:t>approach to</w:t>
      </w:r>
      <w:r w:rsidRPr="00D961B9">
        <w:rPr>
          <w:rFonts w:ascii="Calibri" w:hAnsi="Calibri"/>
          <w:sz w:val="24"/>
          <w:szCs w:val="24"/>
          <w:lang w:val="en-GB"/>
        </w:rPr>
        <w:t xml:space="preserve"> effectiveness.</w:t>
      </w:r>
    </w:p>
    <w:p w14:paraId="1BA7BEE5" w14:textId="3A67F156" w:rsidR="0033780B" w:rsidRPr="00D961B9" w:rsidRDefault="00BC7D16" w:rsidP="00277F30">
      <w:pPr>
        <w:pStyle w:val="Heading1"/>
        <w:rPr>
          <w:rFonts w:ascii="Calibri" w:hAnsi="Calibri"/>
          <w:sz w:val="24"/>
          <w:szCs w:val="24"/>
          <w:lang w:val="en-GB"/>
        </w:rPr>
      </w:pPr>
      <w:r w:rsidRPr="00D961B9">
        <w:rPr>
          <w:rFonts w:ascii="Calibri" w:eastAsiaTheme="minorHAnsi" w:hAnsi="Calibri" w:cstheme="minorBidi"/>
          <w:bCs w:val="0"/>
          <w:color w:val="auto"/>
          <w:sz w:val="24"/>
          <w:szCs w:val="24"/>
          <w:lang w:val="en-GB"/>
        </w:rPr>
        <w:lastRenderedPageBreak/>
        <w:t>5</w:t>
      </w:r>
      <w:r w:rsidR="000A22AD" w:rsidRPr="00D961B9">
        <w:rPr>
          <w:rFonts w:ascii="Calibri" w:eastAsiaTheme="minorHAnsi" w:hAnsi="Calibri" w:cstheme="minorBidi"/>
          <w:bCs w:val="0"/>
          <w:color w:val="auto"/>
          <w:sz w:val="24"/>
          <w:szCs w:val="24"/>
          <w:lang w:val="en-GB"/>
        </w:rPr>
        <w:t xml:space="preserve"> </w:t>
      </w:r>
      <w:r w:rsidR="0033780B" w:rsidRPr="00D961B9">
        <w:rPr>
          <w:rFonts w:ascii="Calibri" w:eastAsiaTheme="minorHAnsi" w:hAnsi="Calibri" w:cstheme="minorBidi"/>
          <w:bCs w:val="0"/>
          <w:color w:val="auto"/>
          <w:sz w:val="24"/>
          <w:szCs w:val="24"/>
          <w:lang w:val="en-GB"/>
        </w:rPr>
        <w:t>Displacement of biodiversity loss</w:t>
      </w:r>
      <w:r w:rsidR="00E42573" w:rsidRPr="00D961B9">
        <w:rPr>
          <w:rFonts w:ascii="Calibri" w:eastAsiaTheme="minorHAnsi" w:hAnsi="Calibri" w:cstheme="minorBidi"/>
          <w:bCs w:val="0"/>
          <w:color w:val="auto"/>
          <w:sz w:val="24"/>
          <w:szCs w:val="24"/>
          <w:lang w:val="en-GB"/>
        </w:rPr>
        <w:t>: Leakage</w:t>
      </w:r>
    </w:p>
    <w:p w14:paraId="0D530679" w14:textId="77777777" w:rsidR="004D0E62" w:rsidRPr="00D961B9" w:rsidRDefault="003425CB" w:rsidP="004C2062">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A related challenge can arise when a project intervention is</w:t>
      </w:r>
      <w:r w:rsidR="00277F30" w:rsidRPr="00D961B9">
        <w:rPr>
          <w:rFonts w:ascii="Calibri" w:hAnsi="Calibri"/>
          <w:sz w:val="24"/>
          <w:szCs w:val="24"/>
          <w:lang w:val="en-GB"/>
        </w:rPr>
        <w:t xml:space="preserve"> </w:t>
      </w:r>
      <w:r w:rsidR="00BC5F5D" w:rsidRPr="00D961B9">
        <w:rPr>
          <w:rFonts w:ascii="Calibri" w:hAnsi="Calibri"/>
          <w:sz w:val="24"/>
          <w:szCs w:val="24"/>
          <w:lang w:val="en-GB"/>
        </w:rPr>
        <w:t>simply</w:t>
      </w:r>
      <w:r w:rsidR="00942416" w:rsidRPr="00D961B9">
        <w:rPr>
          <w:rFonts w:ascii="Calibri" w:hAnsi="Calibri"/>
          <w:sz w:val="24"/>
          <w:szCs w:val="24"/>
          <w:lang w:val="en-GB"/>
        </w:rPr>
        <w:t xml:space="preserve"> displacing the problem </w:t>
      </w:r>
      <w:r w:rsidRPr="00D961B9">
        <w:rPr>
          <w:rFonts w:ascii="Calibri" w:hAnsi="Calibri"/>
          <w:sz w:val="24"/>
          <w:szCs w:val="24"/>
          <w:lang w:val="en-GB"/>
        </w:rPr>
        <w:t>to another location, outside the managed area. This phenomenon is termed “leakage” in carbon offset standards and methodologies (Aukland et al</w:t>
      </w:r>
      <w:r w:rsidR="00277F30" w:rsidRPr="00D961B9">
        <w:rPr>
          <w:rFonts w:ascii="Calibri" w:hAnsi="Calibri"/>
          <w:sz w:val="24"/>
          <w:szCs w:val="24"/>
          <w:lang w:val="en-GB"/>
        </w:rPr>
        <w:t>.</w:t>
      </w:r>
      <w:r w:rsidR="00436CB2" w:rsidRPr="00D961B9">
        <w:rPr>
          <w:rFonts w:ascii="Calibri" w:hAnsi="Calibri"/>
          <w:sz w:val="24"/>
          <w:szCs w:val="24"/>
          <w:lang w:val="en-GB"/>
        </w:rPr>
        <w:t>,</w:t>
      </w:r>
      <w:r w:rsidRPr="00D961B9">
        <w:rPr>
          <w:rFonts w:ascii="Calibri" w:hAnsi="Calibri"/>
          <w:sz w:val="24"/>
          <w:szCs w:val="24"/>
          <w:lang w:val="en-GB"/>
        </w:rPr>
        <w:t xml:space="preserve"> 2003) and, although it can partly or fully negate net biodiversity benefits of an intervention, is rarely considered in conventional conservation efforts. </w:t>
      </w:r>
      <w:r w:rsidR="00F27DC0" w:rsidRPr="00D961B9">
        <w:rPr>
          <w:rFonts w:ascii="Calibri" w:hAnsi="Calibri"/>
          <w:sz w:val="24"/>
          <w:szCs w:val="24"/>
          <w:lang w:val="en-GB"/>
        </w:rPr>
        <w:t>Also, it</w:t>
      </w:r>
      <w:r w:rsidRPr="00D961B9">
        <w:rPr>
          <w:rFonts w:ascii="Calibri" w:hAnsi="Calibri"/>
          <w:sz w:val="24"/>
          <w:szCs w:val="24"/>
          <w:lang w:val="en-GB"/>
        </w:rPr>
        <w:t xml:space="preserve"> is almost entirely missing in biodiversity offset initiatives to date – a severe shortcoming, in our view</w:t>
      </w:r>
      <w:r w:rsidR="00BC5F5D" w:rsidRPr="00D961B9">
        <w:rPr>
          <w:rFonts w:ascii="Calibri" w:hAnsi="Calibri"/>
          <w:sz w:val="24"/>
          <w:szCs w:val="24"/>
          <w:lang w:val="en-GB"/>
        </w:rPr>
        <w:t>.</w:t>
      </w:r>
      <w:r w:rsidR="00942416" w:rsidRPr="00D961B9">
        <w:rPr>
          <w:rFonts w:ascii="Calibri" w:hAnsi="Calibri"/>
          <w:sz w:val="24"/>
          <w:szCs w:val="24"/>
          <w:lang w:val="en-GB"/>
        </w:rPr>
        <w:t xml:space="preserve"> </w:t>
      </w:r>
      <w:r w:rsidR="00870A5A" w:rsidRPr="00D961B9">
        <w:rPr>
          <w:rFonts w:ascii="Calibri" w:hAnsi="Calibri"/>
          <w:sz w:val="24"/>
          <w:szCs w:val="24"/>
          <w:lang w:val="en-GB"/>
        </w:rPr>
        <w:t xml:space="preserve">Leakage risks apply both to the </w:t>
      </w:r>
      <w:r w:rsidR="00277F30" w:rsidRPr="00D961B9">
        <w:rPr>
          <w:rFonts w:ascii="Calibri" w:hAnsi="Calibri"/>
          <w:sz w:val="24"/>
          <w:szCs w:val="24"/>
          <w:lang w:val="en-GB"/>
        </w:rPr>
        <w:t>offset site</w:t>
      </w:r>
      <w:r w:rsidR="00870A5A" w:rsidRPr="00D961B9">
        <w:rPr>
          <w:rFonts w:ascii="Calibri" w:hAnsi="Calibri"/>
          <w:sz w:val="24"/>
          <w:szCs w:val="24"/>
          <w:lang w:val="en-GB"/>
        </w:rPr>
        <w:t xml:space="preserve"> and the site impacted by the development (e.g. a mine) itself. </w:t>
      </w:r>
    </w:p>
    <w:p w14:paraId="452C1B09" w14:textId="77777777" w:rsidR="004D0E62" w:rsidRPr="00D961B9" w:rsidRDefault="004D0E62" w:rsidP="004C2062">
      <w:pPr>
        <w:autoSpaceDE w:val="0"/>
        <w:autoSpaceDN w:val="0"/>
        <w:adjustRightInd w:val="0"/>
        <w:spacing w:after="0" w:line="288" w:lineRule="auto"/>
        <w:rPr>
          <w:rFonts w:ascii="Calibri" w:hAnsi="Calibri"/>
          <w:sz w:val="24"/>
          <w:szCs w:val="24"/>
          <w:lang w:val="en-GB"/>
        </w:rPr>
      </w:pPr>
    </w:p>
    <w:p w14:paraId="48160242" w14:textId="2BE1663C" w:rsidR="006A2893" w:rsidRPr="00D961B9" w:rsidRDefault="00870A5A" w:rsidP="00F4327F">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For example, the Rio</w:t>
      </w:r>
      <w:r w:rsidR="00217356" w:rsidRPr="00D961B9">
        <w:rPr>
          <w:rFonts w:ascii="Calibri" w:hAnsi="Calibri"/>
          <w:sz w:val="24"/>
          <w:szCs w:val="24"/>
          <w:lang w:val="en-GB"/>
        </w:rPr>
        <w:t xml:space="preserve"> </w:t>
      </w:r>
      <w:r w:rsidRPr="00D961B9">
        <w:rPr>
          <w:rFonts w:ascii="Calibri" w:hAnsi="Calibri"/>
          <w:sz w:val="24"/>
          <w:szCs w:val="24"/>
          <w:lang w:val="en-GB"/>
        </w:rPr>
        <w:t>Tinto</w:t>
      </w:r>
      <w:r w:rsidR="00217356" w:rsidRPr="00D961B9">
        <w:rPr>
          <w:rFonts w:ascii="Calibri" w:hAnsi="Calibri"/>
          <w:sz w:val="24"/>
          <w:szCs w:val="24"/>
          <w:lang w:val="en-GB"/>
        </w:rPr>
        <w:t>-</w:t>
      </w:r>
      <w:r w:rsidR="00103CEA" w:rsidRPr="00D961B9">
        <w:rPr>
          <w:rFonts w:ascii="Calibri" w:hAnsi="Calibri"/>
          <w:sz w:val="24"/>
          <w:szCs w:val="24"/>
          <w:lang w:val="en-GB"/>
        </w:rPr>
        <w:t>QMM</w:t>
      </w:r>
      <w:r w:rsidRPr="00D961B9">
        <w:rPr>
          <w:rFonts w:ascii="Calibri" w:hAnsi="Calibri"/>
          <w:sz w:val="24"/>
          <w:szCs w:val="24"/>
          <w:lang w:val="en-GB"/>
        </w:rPr>
        <w:t xml:space="preserve"> project assumes that much of the area impacted by its mine would have been lost to charcoal production</w:t>
      </w:r>
      <w:r w:rsidR="00F27DC0" w:rsidRPr="00D961B9">
        <w:rPr>
          <w:rFonts w:ascii="Calibri" w:hAnsi="Calibri"/>
          <w:sz w:val="24"/>
          <w:szCs w:val="24"/>
          <w:lang w:val="en-GB"/>
        </w:rPr>
        <w:t xml:space="preserve">, as well as </w:t>
      </w:r>
      <w:r w:rsidR="00277F30" w:rsidRPr="00D961B9">
        <w:rPr>
          <w:rFonts w:ascii="Calibri" w:hAnsi="Calibri"/>
          <w:sz w:val="24"/>
          <w:szCs w:val="24"/>
          <w:lang w:val="en-GB"/>
        </w:rPr>
        <w:t>shifting agriculture</w:t>
      </w:r>
      <w:r w:rsidR="00F27DC0" w:rsidRPr="00D961B9">
        <w:rPr>
          <w:rFonts w:ascii="Calibri" w:hAnsi="Calibri"/>
          <w:sz w:val="24"/>
          <w:szCs w:val="24"/>
          <w:lang w:val="en-GB"/>
        </w:rPr>
        <w:t>,</w:t>
      </w:r>
      <w:r w:rsidRPr="00D961B9">
        <w:rPr>
          <w:rFonts w:ascii="Calibri" w:hAnsi="Calibri"/>
          <w:sz w:val="24"/>
          <w:szCs w:val="24"/>
          <w:lang w:val="en-GB"/>
        </w:rPr>
        <w:t xml:space="preserve"> in </w:t>
      </w:r>
      <w:r w:rsidR="00277F30" w:rsidRPr="00D961B9">
        <w:rPr>
          <w:rFonts w:ascii="Calibri" w:hAnsi="Calibri"/>
          <w:sz w:val="24"/>
          <w:szCs w:val="24"/>
          <w:lang w:val="en-GB"/>
        </w:rPr>
        <w:t>its</w:t>
      </w:r>
      <w:r w:rsidRPr="00D961B9">
        <w:rPr>
          <w:rFonts w:ascii="Calibri" w:hAnsi="Calibri"/>
          <w:sz w:val="24"/>
          <w:szCs w:val="24"/>
          <w:lang w:val="en-GB"/>
        </w:rPr>
        <w:t xml:space="preserve"> </w:t>
      </w:r>
      <w:r w:rsidR="00277F30" w:rsidRPr="00D961B9">
        <w:rPr>
          <w:rFonts w:ascii="Calibri" w:hAnsi="Calibri"/>
          <w:sz w:val="24"/>
          <w:szCs w:val="24"/>
          <w:lang w:val="en-GB"/>
        </w:rPr>
        <w:t>counterfactual</w:t>
      </w:r>
      <w:r w:rsidRPr="00D961B9">
        <w:rPr>
          <w:rFonts w:ascii="Calibri" w:hAnsi="Calibri"/>
          <w:sz w:val="24"/>
          <w:szCs w:val="24"/>
          <w:lang w:val="en-GB"/>
        </w:rPr>
        <w:t xml:space="preserve"> scenario. Since the project </w:t>
      </w:r>
      <w:r w:rsidR="00277F30" w:rsidRPr="00D961B9">
        <w:rPr>
          <w:rFonts w:ascii="Calibri" w:hAnsi="Calibri"/>
          <w:sz w:val="24"/>
          <w:szCs w:val="24"/>
          <w:lang w:val="en-GB"/>
        </w:rPr>
        <w:t>does not</w:t>
      </w:r>
      <w:r w:rsidRPr="00D961B9">
        <w:rPr>
          <w:rFonts w:ascii="Calibri" w:hAnsi="Calibri"/>
          <w:sz w:val="24"/>
          <w:szCs w:val="24"/>
          <w:lang w:val="en-GB"/>
        </w:rPr>
        <w:t xml:space="preserve"> create an alternative</w:t>
      </w:r>
      <w:r w:rsidR="00277F30" w:rsidRPr="00D961B9">
        <w:rPr>
          <w:rFonts w:ascii="Calibri" w:hAnsi="Calibri"/>
          <w:sz w:val="24"/>
          <w:szCs w:val="24"/>
          <w:lang w:val="en-GB"/>
        </w:rPr>
        <w:t xml:space="preserve"> to shifting agriculture (though it does for charcoal production through fuel wood plantations)</w:t>
      </w:r>
      <w:r w:rsidRPr="00D961B9">
        <w:rPr>
          <w:rFonts w:ascii="Calibri" w:hAnsi="Calibri"/>
          <w:sz w:val="24"/>
          <w:szCs w:val="24"/>
          <w:lang w:val="en-GB"/>
        </w:rPr>
        <w:t xml:space="preserve">, it should conservatively assume that </w:t>
      </w:r>
      <w:r w:rsidR="00277F30" w:rsidRPr="00D961B9">
        <w:rPr>
          <w:rFonts w:ascii="Calibri" w:hAnsi="Calibri"/>
          <w:sz w:val="24"/>
          <w:szCs w:val="24"/>
          <w:lang w:val="en-GB"/>
        </w:rPr>
        <w:t>shifting agriculture</w:t>
      </w:r>
      <w:r w:rsidR="00311E53" w:rsidRPr="00D961B9">
        <w:rPr>
          <w:rFonts w:ascii="Calibri" w:hAnsi="Calibri"/>
          <w:sz w:val="24"/>
          <w:szCs w:val="24"/>
          <w:lang w:val="en-GB"/>
        </w:rPr>
        <w:t xml:space="preserve"> will be displaced and accelerate deforestation in nearby remaining forests.</w:t>
      </w:r>
      <w:r w:rsidR="00277F30" w:rsidRPr="00D961B9">
        <w:rPr>
          <w:rFonts w:ascii="Calibri" w:hAnsi="Calibri"/>
          <w:sz w:val="24"/>
          <w:szCs w:val="24"/>
          <w:lang w:val="en-GB"/>
        </w:rPr>
        <w:t xml:space="preserve"> </w:t>
      </w:r>
      <w:r w:rsidR="00F4327F" w:rsidRPr="00D961B9">
        <w:rPr>
          <w:rFonts w:ascii="Calibri" w:hAnsi="Calibri"/>
          <w:sz w:val="24"/>
          <w:szCs w:val="24"/>
          <w:lang w:val="en-GB"/>
        </w:rPr>
        <w:t>In some respect</w:t>
      </w:r>
      <w:r w:rsidR="00217356" w:rsidRPr="00D961B9">
        <w:rPr>
          <w:rFonts w:ascii="Calibri" w:hAnsi="Calibri"/>
          <w:sz w:val="24"/>
          <w:szCs w:val="24"/>
          <w:lang w:val="en-GB"/>
        </w:rPr>
        <w:t>s</w:t>
      </w:r>
      <w:r w:rsidR="00F4327F" w:rsidRPr="00D961B9">
        <w:rPr>
          <w:rFonts w:ascii="Calibri" w:hAnsi="Calibri"/>
          <w:sz w:val="24"/>
          <w:szCs w:val="24"/>
          <w:lang w:val="en-GB"/>
        </w:rPr>
        <w:t xml:space="preserve">, thus, applying </w:t>
      </w:r>
      <w:r w:rsidR="00217356" w:rsidRPr="00D961B9">
        <w:rPr>
          <w:rFonts w:ascii="Calibri" w:hAnsi="Calibri"/>
          <w:sz w:val="24"/>
          <w:szCs w:val="24"/>
          <w:lang w:val="en-GB"/>
        </w:rPr>
        <w:t xml:space="preserve">a </w:t>
      </w:r>
      <w:r w:rsidR="00F4327F" w:rsidRPr="00D961B9">
        <w:rPr>
          <w:rFonts w:ascii="Calibri" w:hAnsi="Calibri"/>
          <w:sz w:val="24"/>
          <w:szCs w:val="24"/>
          <w:lang w:val="en-GB"/>
        </w:rPr>
        <w:t xml:space="preserve">counterfactual scenario to a mine site is unnecessary because impacts are often displaced off-site, which becomes obvious when </w:t>
      </w:r>
      <w:r w:rsidR="00217356" w:rsidRPr="00D961B9">
        <w:rPr>
          <w:rFonts w:ascii="Calibri" w:hAnsi="Calibri"/>
          <w:sz w:val="24"/>
          <w:szCs w:val="24"/>
          <w:lang w:val="en-GB"/>
        </w:rPr>
        <w:t xml:space="preserve">a </w:t>
      </w:r>
      <w:r w:rsidR="00F4327F" w:rsidRPr="00D961B9">
        <w:rPr>
          <w:rFonts w:ascii="Calibri" w:hAnsi="Calibri"/>
          <w:sz w:val="24"/>
          <w:szCs w:val="24"/>
          <w:lang w:val="en-GB"/>
        </w:rPr>
        <w:t xml:space="preserve">leakage factor is included in the equation (Formula 2). </w:t>
      </w:r>
    </w:p>
    <w:p w14:paraId="0F617D97" w14:textId="77777777" w:rsidR="006A2893" w:rsidRPr="00D961B9" w:rsidRDefault="006A2893" w:rsidP="004C2062">
      <w:pPr>
        <w:autoSpaceDE w:val="0"/>
        <w:autoSpaceDN w:val="0"/>
        <w:adjustRightInd w:val="0"/>
        <w:spacing w:after="0" w:line="288" w:lineRule="auto"/>
        <w:rPr>
          <w:rFonts w:ascii="Calibri" w:hAnsi="Calibri"/>
          <w:sz w:val="24"/>
          <w:szCs w:val="24"/>
          <w:lang w:val="en-GB"/>
        </w:rPr>
      </w:pPr>
    </w:p>
    <w:p w14:paraId="2A1BB4A4" w14:textId="77777777" w:rsidR="00F27DC0" w:rsidRPr="00D961B9" w:rsidRDefault="00F27DC0" w:rsidP="00F27DC0">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In well-designed REDD projects, leakage risks have to be systematically assessed through a causal framework; risks are then mitigated and remaining leakage is quantified to the extent possible and conservatively deducted from project benefits (Ebeling </w:t>
      </w:r>
      <w:r w:rsidR="00436CB2" w:rsidRPr="00D961B9">
        <w:rPr>
          <w:rFonts w:ascii="Calibri" w:hAnsi="Calibri"/>
          <w:sz w:val="24"/>
          <w:szCs w:val="24"/>
          <w:lang w:val="en-GB"/>
        </w:rPr>
        <w:t>and</w:t>
      </w:r>
      <w:r w:rsidRPr="00D961B9">
        <w:rPr>
          <w:rFonts w:ascii="Calibri" w:hAnsi="Calibri"/>
          <w:sz w:val="24"/>
          <w:szCs w:val="24"/>
          <w:lang w:val="en-GB"/>
        </w:rPr>
        <w:t xml:space="preserve"> Olander</w:t>
      </w:r>
      <w:r w:rsidR="00436CB2" w:rsidRPr="00D961B9">
        <w:rPr>
          <w:rFonts w:ascii="Calibri" w:hAnsi="Calibri"/>
          <w:sz w:val="24"/>
          <w:szCs w:val="24"/>
          <w:lang w:val="en-GB"/>
        </w:rPr>
        <w:t>,</w:t>
      </w:r>
      <w:r w:rsidRPr="00D961B9">
        <w:rPr>
          <w:rFonts w:ascii="Calibri" w:hAnsi="Calibri"/>
          <w:sz w:val="24"/>
          <w:szCs w:val="24"/>
          <w:lang w:val="en-GB"/>
        </w:rPr>
        <w:t xml:space="preserve"> 2011). To date, methodologies have been approved for carbon accounting under the Verified Carbon Standard (VCS) (</w:t>
      </w:r>
      <w:r w:rsidR="005D06CF" w:rsidRPr="00D961B9">
        <w:rPr>
          <w:sz w:val="24"/>
          <w:szCs w:val="24"/>
          <w:lang w:val="en-AU"/>
        </w:rPr>
        <w:t>VCS, 2013</w:t>
      </w:r>
      <w:r w:rsidRPr="00D961B9">
        <w:rPr>
          <w:rFonts w:ascii="Calibri" w:hAnsi="Calibri"/>
          <w:sz w:val="24"/>
          <w:szCs w:val="24"/>
          <w:lang w:val="en-GB"/>
        </w:rPr>
        <w:t>) and for biodiversity impact assessment under the Climate, Community and Biodiversity (CCB) Standards (</w:t>
      </w:r>
      <w:r w:rsidR="005D06CF" w:rsidRPr="00D961B9">
        <w:rPr>
          <w:rFonts w:ascii="Calibri" w:hAnsi="Calibri"/>
          <w:sz w:val="24"/>
          <w:szCs w:val="24"/>
          <w:lang w:val="en-GB"/>
        </w:rPr>
        <w:t>CCB, 2013</w:t>
      </w:r>
      <w:r w:rsidRPr="00D961B9">
        <w:rPr>
          <w:rFonts w:ascii="Calibri" w:hAnsi="Calibri"/>
          <w:sz w:val="24"/>
          <w:szCs w:val="24"/>
          <w:lang w:val="en-GB"/>
        </w:rPr>
        <w:t>). These standards involve validation and verification by independent approved auditors. We propose that biodiversity offset scheme management could draw on these approaches to ensure no net losses are indeed created</w:t>
      </w:r>
      <w:r w:rsidR="00D07A66" w:rsidRPr="00D961B9">
        <w:rPr>
          <w:rFonts w:ascii="Calibri" w:hAnsi="Calibri"/>
          <w:sz w:val="24"/>
          <w:szCs w:val="24"/>
          <w:lang w:val="en-GB"/>
        </w:rPr>
        <w:t xml:space="preserve"> (see formula 2)</w:t>
      </w:r>
      <w:r w:rsidRPr="00D961B9">
        <w:rPr>
          <w:rFonts w:ascii="Calibri" w:hAnsi="Calibri"/>
          <w:sz w:val="24"/>
          <w:szCs w:val="24"/>
          <w:lang w:val="en-GB"/>
        </w:rPr>
        <w:t xml:space="preserve">. </w:t>
      </w:r>
    </w:p>
    <w:p w14:paraId="03EDC68E" w14:textId="77777777" w:rsidR="00870A5A" w:rsidRPr="00D961B9" w:rsidRDefault="00870A5A" w:rsidP="006A2893">
      <w:pPr>
        <w:autoSpaceDE w:val="0"/>
        <w:autoSpaceDN w:val="0"/>
        <w:adjustRightInd w:val="0"/>
        <w:spacing w:after="0" w:line="288" w:lineRule="auto"/>
        <w:rPr>
          <w:rFonts w:ascii="Calibri" w:hAnsi="Calibri"/>
          <w:sz w:val="24"/>
          <w:szCs w:val="24"/>
          <w:lang w:val="en-GB"/>
        </w:rPr>
      </w:pPr>
    </w:p>
    <w:p w14:paraId="53E6FA4B" w14:textId="24B8C1BC" w:rsidR="004D0E62" w:rsidRPr="00D961B9" w:rsidRDefault="00F27DC0" w:rsidP="00F27DC0">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Consideration of leakage risks can greatly improve project design, for example by assessing whether social compensation measures are likely to sufficiently address costs incurred to communities by restriction of grazing, charcoal production and agricultural activities</w:t>
      </w:r>
      <w:r w:rsidR="00113842" w:rsidRPr="00D961B9">
        <w:rPr>
          <w:rFonts w:ascii="Calibri" w:hAnsi="Calibri"/>
          <w:sz w:val="24"/>
          <w:szCs w:val="24"/>
          <w:lang w:val="en-GB"/>
        </w:rPr>
        <w:t xml:space="preserve"> </w:t>
      </w:r>
      <w:r w:rsidR="00F4327F" w:rsidRPr="00D961B9">
        <w:rPr>
          <w:rFonts w:ascii="Calibri" w:hAnsi="Calibri"/>
          <w:sz w:val="24"/>
          <w:szCs w:val="24"/>
          <w:lang w:val="en-GB"/>
        </w:rPr>
        <w:t xml:space="preserve">or access to restoration areas, </w:t>
      </w:r>
      <w:r w:rsidR="00113842" w:rsidRPr="00D961B9">
        <w:rPr>
          <w:rFonts w:ascii="Calibri" w:hAnsi="Calibri"/>
          <w:sz w:val="24"/>
          <w:szCs w:val="24"/>
          <w:lang w:val="en-GB"/>
        </w:rPr>
        <w:t>because of mining</w:t>
      </w:r>
      <w:r w:rsidR="00F4327F" w:rsidRPr="00D961B9">
        <w:rPr>
          <w:rFonts w:ascii="Calibri" w:hAnsi="Calibri"/>
          <w:sz w:val="24"/>
          <w:szCs w:val="24"/>
          <w:lang w:val="en-GB"/>
        </w:rPr>
        <w:t xml:space="preserve"> or offset activities</w:t>
      </w:r>
      <w:r w:rsidRPr="00D961B9">
        <w:rPr>
          <w:rFonts w:ascii="Calibri" w:hAnsi="Calibri"/>
          <w:sz w:val="24"/>
          <w:szCs w:val="24"/>
          <w:lang w:val="en-GB"/>
        </w:rPr>
        <w:t>. In many cases, it may be best to introduce alternative, sustainable practices, for example through bio-energy plantations for charcoal or improved agriculture at the appropriate intensity and scale that is needed to prevent leakage</w:t>
      </w:r>
      <w:r w:rsidR="00113842" w:rsidRPr="00D961B9">
        <w:rPr>
          <w:rFonts w:ascii="Calibri" w:hAnsi="Calibri"/>
          <w:sz w:val="24"/>
          <w:szCs w:val="24"/>
          <w:lang w:val="en-GB"/>
        </w:rPr>
        <w:t xml:space="preserve"> first at the mine site</w:t>
      </w:r>
      <w:r w:rsidRPr="00D961B9">
        <w:rPr>
          <w:rFonts w:ascii="Calibri" w:hAnsi="Calibri"/>
          <w:sz w:val="24"/>
          <w:szCs w:val="24"/>
          <w:lang w:val="en-GB"/>
        </w:rPr>
        <w:t xml:space="preserve">. </w:t>
      </w:r>
      <w:r w:rsidR="00113842" w:rsidRPr="00D961B9">
        <w:rPr>
          <w:rFonts w:ascii="Calibri" w:hAnsi="Calibri"/>
          <w:sz w:val="24"/>
          <w:szCs w:val="24"/>
          <w:lang w:val="en-GB"/>
        </w:rPr>
        <w:t xml:space="preserve">Then, the </w:t>
      </w:r>
      <w:r w:rsidR="00217356" w:rsidRPr="00D961B9">
        <w:rPr>
          <w:rFonts w:ascii="Calibri" w:hAnsi="Calibri"/>
          <w:sz w:val="24"/>
          <w:szCs w:val="24"/>
          <w:lang w:val="en-GB"/>
        </w:rPr>
        <w:t xml:space="preserve">basic </w:t>
      </w:r>
      <w:r w:rsidR="004D0E62" w:rsidRPr="00D961B9">
        <w:rPr>
          <w:rFonts w:ascii="Calibri" w:hAnsi="Calibri"/>
          <w:sz w:val="24"/>
          <w:szCs w:val="24"/>
          <w:lang w:val="en-GB"/>
        </w:rPr>
        <w:t xml:space="preserve">question for </w:t>
      </w:r>
      <w:r w:rsidR="00113842" w:rsidRPr="00D961B9">
        <w:rPr>
          <w:rFonts w:ascii="Calibri" w:hAnsi="Calibri"/>
          <w:sz w:val="24"/>
          <w:szCs w:val="24"/>
          <w:lang w:val="en-GB"/>
        </w:rPr>
        <w:t xml:space="preserve">adequate biodiversity accounting </w:t>
      </w:r>
      <w:r w:rsidR="00217356" w:rsidRPr="00D961B9">
        <w:rPr>
          <w:rFonts w:ascii="Calibri" w:hAnsi="Calibri"/>
          <w:sz w:val="24"/>
          <w:szCs w:val="24"/>
          <w:lang w:val="en-GB"/>
        </w:rPr>
        <w:t>becomes consideration of</w:t>
      </w:r>
      <w:r w:rsidR="00113842" w:rsidRPr="00D961B9">
        <w:rPr>
          <w:rFonts w:ascii="Calibri" w:hAnsi="Calibri"/>
          <w:sz w:val="24"/>
          <w:szCs w:val="24"/>
          <w:lang w:val="en-GB"/>
        </w:rPr>
        <w:t xml:space="preserve"> whether</w:t>
      </w:r>
      <w:r w:rsidR="004D0E62" w:rsidRPr="00D961B9">
        <w:rPr>
          <w:rFonts w:ascii="Calibri" w:hAnsi="Calibri"/>
          <w:sz w:val="24"/>
          <w:szCs w:val="24"/>
          <w:lang w:val="en-GB"/>
        </w:rPr>
        <w:t xml:space="preserve"> offset compensatory measures address the root causes of biodiversity loss so as to minimise the risk of simply displacing the problem off-site</w:t>
      </w:r>
      <w:r w:rsidR="00113842" w:rsidRPr="00D961B9">
        <w:rPr>
          <w:rFonts w:ascii="Calibri" w:hAnsi="Calibri"/>
          <w:sz w:val="24"/>
          <w:szCs w:val="24"/>
          <w:lang w:val="en-GB"/>
        </w:rPr>
        <w:t xml:space="preserve"> again</w:t>
      </w:r>
      <w:r w:rsidR="004D0E62" w:rsidRPr="00D961B9">
        <w:rPr>
          <w:rFonts w:ascii="Calibri" w:hAnsi="Calibri"/>
          <w:sz w:val="24"/>
          <w:szCs w:val="24"/>
          <w:lang w:val="en-GB"/>
        </w:rPr>
        <w:t xml:space="preserve">. </w:t>
      </w:r>
    </w:p>
    <w:p w14:paraId="5F1CFEBD" w14:textId="7E6480F5" w:rsidR="00296928" w:rsidRPr="00D961B9" w:rsidRDefault="00BC7D16" w:rsidP="00296928">
      <w:pPr>
        <w:pStyle w:val="Heading1"/>
        <w:rPr>
          <w:rFonts w:ascii="Calibri" w:eastAsiaTheme="minorHAnsi" w:hAnsi="Calibri" w:cstheme="minorBidi"/>
          <w:bCs w:val="0"/>
          <w:color w:val="auto"/>
          <w:sz w:val="24"/>
          <w:szCs w:val="24"/>
          <w:lang w:val="en-GB"/>
        </w:rPr>
      </w:pPr>
      <w:r w:rsidRPr="00D961B9">
        <w:rPr>
          <w:rFonts w:ascii="Calibri" w:eastAsiaTheme="minorHAnsi" w:hAnsi="Calibri" w:cstheme="minorBidi"/>
          <w:bCs w:val="0"/>
          <w:color w:val="auto"/>
          <w:sz w:val="24"/>
          <w:szCs w:val="24"/>
          <w:lang w:val="en-GB"/>
        </w:rPr>
        <w:lastRenderedPageBreak/>
        <w:t>6</w:t>
      </w:r>
      <w:r w:rsidR="000A22AD" w:rsidRPr="00D961B9">
        <w:rPr>
          <w:rFonts w:ascii="Calibri" w:eastAsiaTheme="minorHAnsi" w:hAnsi="Calibri" w:cstheme="minorBidi"/>
          <w:bCs w:val="0"/>
          <w:color w:val="auto"/>
          <w:sz w:val="24"/>
          <w:szCs w:val="24"/>
          <w:lang w:val="en-GB"/>
        </w:rPr>
        <w:t xml:space="preserve"> </w:t>
      </w:r>
      <w:r w:rsidR="00296928" w:rsidRPr="00D961B9">
        <w:rPr>
          <w:rFonts w:ascii="Calibri" w:eastAsiaTheme="minorHAnsi" w:hAnsi="Calibri" w:cstheme="minorBidi"/>
          <w:bCs w:val="0"/>
          <w:color w:val="auto"/>
          <w:sz w:val="24"/>
          <w:szCs w:val="24"/>
          <w:lang w:val="en-GB"/>
        </w:rPr>
        <w:t xml:space="preserve">Permanence of biodiversity benefits: </w:t>
      </w:r>
      <w:r w:rsidR="00E41AAD" w:rsidRPr="00D961B9">
        <w:rPr>
          <w:rFonts w:ascii="Calibri" w:eastAsiaTheme="minorHAnsi" w:hAnsi="Calibri" w:cstheme="minorBidi"/>
          <w:bCs w:val="0"/>
          <w:color w:val="auto"/>
          <w:sz w:val="24"/>
          <w:szCs w:val="24"/>
          <w:lang w:val="en-GB"/>
        </w:rPr>
        <w:t>N</w:t>
      </w:r>
      <w:r w:rsidR="00296928" w:rsidRPr="00D961B9">
        <w:rPr>
          <w:rFonts w:ascii="Calibri" w:eastAsiaTheme="minorHAnsi" w:hAnsi="Calibri" w:cstheme="minorBidi"/>
          <w:bCs w:val="0"/>
          <w:color w:val="auto"/>
          <w:sz w:val="24"/>
          <w:szCs w:val="24"/>
          <w:lang w:val="en-GB"/>
        </w:rPr>
        <w:t>o net loss for how long?</w:t>
      </w:r>
    </w:p>
    <w:p w14:paraId="76657D49" w14:textId="77777777" w:rsidR="00C63F99" w:rsidRPr="00D961B9" w:rsidRDefault="00790D49" w:rsidP="00310DF5">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The impacts of a mining</w:t>
      </w:r>
      <w:r w:rsidR="00BA7FDC" w:rsidRPr="00D961B9">
        <w:rPr>
          <w:rFonts w:ascii="Calibri" w:hAnsi="Calibri"/>
          <w:sz w:val="24"/>
          <w:szCs w:val="24"/>
          <w:lang w:val="en-GB"/>
        </w:rPr>
        <w:t xml:space="preserve"> or infrastructure proj</w:t>
      </w:r>
      <w:r w:rsidR="00175D55" w:rsidRPr="00D961B9">
        <w:rPr>
          <w:rFonts w:ascii="Calibri" w:hAnsi="Calibri"/>
          <w:sz w:val="24"/>
          <w:szCs w:val="24"/>
          <w:lang w:val="en-GB"/>
        </w:rPr>
        <w:t>ect can be considered permanent</w:t>
      </w:r>
      <w:r w:rsidR="00BA7FDC" w:rsidRPr="00D961B9">
        <w:rPr>
          <w:rFonts w:ascii="Calibri" w:hAnsi="Calibri"/>
          <w:sz w:val="24"/>
          <w:szCs w:val="24"/>
          <w:lang w:val="en-GB"/>
        </w:rPr>
        <w:t xml:space="preserve">. This implies that compensatory </w:t>
      </w:r>
      <w:r w:rsidR="00113842" w:rsidRPr="00D961B9">
        <w:rPr>
          <w:rFonts w:ascii="Calibri" w:hAnsi="Calibri"/>
          <w:sz w:val="24"/>
          <w:szCs w:val="24"/>
          <w:lang w:val="en-GB"/>
        </w:rPr>
        <w:t xml:space="preserve">offset </w:t>
      </w:r>
      <w:r w:rsidR="00BA7FDC" w:rsidRPr="00D961B9">
        <w:rPr>
          <w:rFonts w:ascii="Calibri" w:hAnsi="Calibri"/>
          <w:sz w:val="24"/>
          <w:szCs w:val="24"/>
          <w:lang w:val="en-GB"/>
        </w:rPr>
        <w:t xml:space="preserve">measures must create permanent benefits. If they are not, for example if a forest restoration project fails or a conserved forest is cut down in the future, then net losses occur and on-site impacts have not been offset. </w:t>
      </w:r>
      <w:r w:rsidR="00175D55" w:rsidRPr="00D961B9">
        <w:rPr>
          <w:rFonts w:ascii="Calibri" w:hAnsi="Calibri"/>
          <w:sz w:val="24"/>
          <w:szCs w:val="24"/>
          <w:lang w:val="en-GB"/>
        </w:rPr>
        <w:t>How best to address this</w:t>
      </w:r>
      <w:r w:rsidR="00BA7FDC" w:rsidRPr="00D961B9">
        <w:rPr>
          <w:rFonts w:ascii="Calibri" w:hAnsi="Calibri"/>
          <w:sz w:val="24"/>
          <w:szCs w:val="24"/>
          <w:lang w:val="en-GB"/>
        </w:rPr>
        <w:t xml:space="preserve"> risk is not usually considered in existing b</w:t>
      </w:r>
      <w:r w:rsidR="0070620F" w:rsidRPr="00D961B9">
        <w:rPr>
          <w:rFonts w:ascii="Calibri" w:hAnsi="Calibri"/>
          <w:sz w:val="24"/>
          <w:szCs w:val="24"/>
          <w:lang w:val="en-GB"/>
        </w:rPr>
        <w:t>iodiversity offset initiatives.</w:t>
      </w:r>
    </w:p>
    <w:p w14:paraId="2E84578D" w14:textId="77777777" w:rsidR="00BA7FDC" w:rsidRPr="00D961B9" w:rsidRDefault="00BA7FDC" w:rsidP="00310DF5">
      <w:pPr>
        <w:autoSpaceDE w:val="0"/>
        <w:autoSpaceDN w:val="0"/>
        <w:adjustRightInd w:val="0"/>
        <w:spacing w:after="0" w:line="288" w:lineRule="auto"/>
        <w:rPr>
          <w:rFonts w:ascii="Calibri" w:hAnsi="Calibri"/>
          <w:sz w:val="24"/>
          <w:szCs w:val="24"/>
          <w:lang w:val="en-GB"/>
        </w:rPr>
      </w:pPr>
    </w:p>
    <w:p w14:paraId="261F83C8" w14:textId="77777777" w:rsidR="0070620F" w:rsidRPr="00D961B9" w:rsidRDefault="00417AE6" w:rsidP="0070620F">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w:t>
      </w:r>
      <w:r w:rsidR="0070620F" w:rsidRPr="00D961B9">
        <w:rPr>
          <w:rFonts w:ascii="Calibri" w:hAnsi="Calibri"/>
          <w:sz w:val="24"/>
          <w:szCs w:val="24"/>
          <w:lang w:val="en-GB"/>
        </w:rPr>
        <w:t>Non-permanence risks</w:t>
      </w:r>
      <w:r w:rsidRPr="00D961B9">
        <w:rPr>
          <w:rFonts w:ascii="Calibri" w:hAnsi="Calibri"/>
          <w:sz w:val="24"/>
          <w:szCs w:val="24"/>
          <w:lang w:val="en-GB"/>
        </w:rPr>
        <w:t>”</w:t>
      </w:r>
      <w:r w:rsidR="0070620F" w:rsidRPr="00D961B9">
        <w:rPr>
          <w:rFonts w:ascii="Calibri" w:hAnsi="Calibri"/>
          <w:sz w:val="24"/>
          <w:szCs w:val="24"/>
          <w:lang w:val="en-GB"/>
        </w:rPr>
        <w:t xml:space="preserve"> have been at the centre of criticisms levelled at forest carbon offsets (Marland et al.</w:t>
      </w:r>
      <w:r w:rsidR="00436CB2" w:rsidRPr="00D961B9">
        <w:rPr>
          <w:rFonts w:ascii="Calibri" w:hAnsi="Calibri"/>
          <w:sz w:val="24"/>
          <w:szCs w:val="24"/>
          <w:lang w:val="en-GB"/>
        </w:rPr>
        <w:t>,</w:t>
      </w:r>
      <w:r w:rsidR="0070620F" w:rsidRPr="00D961B9">
        <w:rPr>
          <w:rFonts w:ascii="Calibri" w:hAnsi="Calibri"/>
          <w:sz w:val="24"/>
          <w:szCs w:val="24"/>
          <w:lang w:val="en-GB"/>
        </w:rPr>
        <w:t xml:space="preserve"> 2001), and several approaches have been devised to mitigate these. Afforestation and reforestation projects under the Clean Development Mechanism (CDM) of the Kyoto Protocol are only issued with temporary carbon offset credits which have to be renewed or replaced periodically. In addition, afforestation and reforestation and REDD projects need to set aside a portion of carbon offsets into a pooled non-permanence risk buffer under the Verified Carbon Standard. This portion depends on initial and periodic risk assessments. Other carbon standards have trialled insurance schemes or legal permanent conservation obligations (Ebeling </w:t>
      </w:r>
      <w:r w:rsidR="00436CB2" w:rsidRPr="00D961B9">
        <w:rPr>
          <w:rFonts w:ascii="Calibri" w:hAnsi="Calibri"/>
          <w:sz w:val="24"/>
          <w:szCs w:val="24"/>
          <w:lang w:val="en-GB"/>
        </w:rPr>
        <w:t>and</w:t>
      </w:r>
      <w:r w:rsidR="0070620F" w:rsidRPr="00D961B9">
        <w:rPr>
          <w:rFonts w:ascii="Calibri" w:hAnsi="Calibri"/>
          <w:sz w:val="24"/>
          <w:szCs w:val="24"/>
          <w:lang w:val="en-GB"/>
        </w:rPr>
        <w:t xml:space="preserve"> Vallejo</w:t>
      </w:r>
      <w:r w:rsidR="00436CB2" w:rsidRPr="00D961B9">
        <w:rPr>
          <w:rFonts w:ascii="Calibri" w:hAnsi="Calibri"/>
          <w:sz w:val="24"/>
          <w:szCs w:val="24"/>
          <w:lang w:val="en-GB"/>
        </w:rPr>
        <w:t>,</w:t>
      </w:r>
      <w:r w:rsidR="0070620F" w:rsidRPr="00D961B9">
        <w:rPr>
          <w:rFonts w:ascii="Calibri" w:hAnsi="Calibri"/>
          <w:sz w:val="24"/>
          <w:szCs w:val="24"/>
          <w:lang w:val="en-GB"/>
        </w:rPr>
        <w:t xml:space="preserve"> 2011). For all, the underlying principle is a regular independent audit that confirms that the benefit still exists, alongside a mechanism for replacing units that are lost through reversal of benefits.</w:t>
      </w:r>
    </w:p>
    <w:p w14:paraId="220F550B" w14:textId="77777777" w:rsidR="007C2824" w:rsidRPr="00D961B9" w:rsidRDefault="007C2824" w:rsidP="00310DF5">
      <w:pPr>
        <w:autoSpaceDE w:val="0"/>
        <w:autoSpaceDN w:val="0"/>
        <w:adjustRightInd w:val="0"/>
        <w:spacing w:after="0" w:line="288" w:lineRule="auto"/>
        <w:rPr>
          <w:rFonts w:ascii="Calibri" w:hAnsi="Calibri"/>
          <w:sz w:val="24"/>
          <w:szCs w:val="24"/>
          <w:lang w:val="en-GB"/>
        </w:rPr>
      </w:pPr>
    </w:p>
    <w:p w14:paraId="413E421D" w14:textId="77777777" w:rsidR="0070620F" w:rsidRPr="00D961B9" w:rsidRDefault="0070620F" w:rsidP="0070620F">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In the case of biodiversity offsets, it may be possible to develop a risk-buffer system based on habitat hectares. More appropriate, however, may be an enhanced emphasis on long-term effectiveness of interventions, especially through tackling </w:t>
      </w:r>
      <w:r w:rsidR="00417AE6" w:rsidRPr="00D961B9">
        <w:rPr>
          <w:rFonts w:ascii="Calibri" w:hAnsi="Calibri"/>
          <w:sz w:val="24"/>
          <w:szCs w:val="24"/>
          <w:lang w:val="en-GB"/>
        </w:rPr>
        <w:t xml:space="preserve">the </w:t>
      </w:r>
      <w:r w:rsidRPr="00D961B9">
        <w:rPr>
          <w:rFonts w:ascii="Calibri" w:hAnsi="Calibri"/>
          <w:sz w:val="24"/>
          <w:szCs w:val="24"/>
          <w:lang w:val="en-GB"/>
        </w:rPr>
        <w:t xml:space="preserve">underlying drivers of biodiversity threats, combined with a “generous” offset design incorporating ample error margins to allow for discounts. Sustained management capacity potentially could be supported through permanent </w:t>
      </w:r>
      <w:r w:rsidR="00417AE6" w:rsidRPr="00D961B9">
        <w:rPr>
          <w:rFonts w:ascii="Calibri" w:hAnsi="Calibri"/>
          <w:sz w:val="24"/>
          <w:szCs w:val="24"/>
          <w:lang w:val="en-GB"/>
        </w:rPr>
        <w:t xml:space="preserve">not-for-profit </w:t>
      </w:r>
      <w:r w:rsidRPr="00D961B9">
        <w:rPr>
          <w:rFonts w:ascii="Calibri" w:hAnsi="Calibri"/>
          <w:sz w:val="24"/>
          <w:szCs w:val="24"/>
          <w:lang w:val="en-GB"/>
        </w:rPr>
        <w:t>foundations to fund ongoing activities.</w:t>
      </w:r>
    </w:p>
    <w:p w14:paraId="0C7B3871" w14:textId="77777777" w:rsidR="007C2824" w:rsidRPr="00D961B9" w:rsidRDefault="007C2824" w:rsidP="00310DF5">
      <w:pPr>
        <w:autoSpaceDE w:val="0"/>
        <w:autoSpaceDN w:val="0"/>
        <w:adjustRightInd w:val="0"/>
        <w:spacing w:after="0" w:line="288" w:lineRule="auto"/>
        <w:rPr>
          <w:rFonts w:ascii="Calibri" w:hAnsi="Calibri"/>
          <w:sz w:val="24"/>
          <w:szCs w:val="24"/>
          <w:lang w:val="en-GB"/>
        </w:rPr>
      </w:pPr>
    </w:p>
    <w:p w14:paraId="6E30FBB9" w14:textId="70B43E19" w:rsidR="00F4327F" w:rsidRPr="00D961B9" w:rsidRDefault="0070620F" w:rsidP="0070620F">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Thoroughly assessing both leakage and non-permanence risks, and designing measures based on a transparent causal approach, c</w:t>
      </w:r>
      <w:r w:rsidR="00417AE6" w:rsidRPr="00D961B9">
        <w:rPr>
          <w:rFonts w:ascii="Calibri" w:hAnsi="Calibri"/>
          <w:sz w:val="24"/>
          <w:szCs w:val="24"/>
          <w:lang w:val="en-GB"/>
        </w:rPr>
        <w:t>ould</w:t>
      </w:r>
      <w:r w:rsidRPr="00D961B9">
        <w:rPr>
          <w:rFonts w:ascii="Calibri" w:hAnsi="Calibri"/>
          <w:sz w:val="24"/>
          <w:szCs w:val="24"/>
          <w:lang w:val="en-GB"/>
        </w:rPr>
        <w:t xml:space="preserve"> greatly improve overall offset project design and effectiveness. Both leakage and non-permanence aspects need to be urgently considered for biodiversity offsets to ensure intended additional and long-term net benefits are indeed created.</w:t>
      </w:r>
    </w:p>
    <w:p w14:paraId="6835DCA5" w14:textId="77777777" w:rsidR="004F44E3" w:rsidRPr="00D961B9" w:rsidRDefault="00BC7D16" w:rsidP="005814D4">
      <w:pPr>
        <w:pStyle w:val="Heading1"/>
        <w:rPr>
          <w:rFonts w:ascii="Calibri" w:eastAsiaTheme="minorHAnsi" w:hAnsi="Calibri" w:cstheme="minorBidi"/>
          <w:bCs w:val="0"/>
          <w:color w:val="auto"/>
          <w:sz w:val="24"/>
          <w:szCs w:val="24"/>
          <w:lang w:val="en-GB"/>
        </w:rPr>
      </w:pPr>
      <w:r w:rsidRPr="00D961B9">
        <w:rPr>
          <w:rFonts w:ascii="Calibri" w:eastAsiaTheme="minorHAnsi" w:hAnsi="Calibri" w:cstheme="minorBidi"/>
          <w:bCs w:val="0"/>
          <w:color w:val="auto"/>
          <w:sz w:val="24"/>
          <w:szCs w:val="24"/>
          <w:lang w:val="en-GB"/>
        </w:rPr>
        <w:t xml:space="preserve"> 7</w:t>
      </w:r>
      <w:r w:rsidR="00E41AAD" w:rsidRPr="00D961B9">
        <w:rPr>
          <w:rFonts w:ascii="Calibri" w:eastAsiaTheme="minorHAnsi" w:hAnsi="Calibri" w:cstheme="minorBidi"/>
          <w:bCs w:val="0"/>
          <w:color w:val="auto"/>
          <w:sz w:val="24"/>
          <w:szCs w:val="24"/>
          <w:lang w:val="en-GB"/>
        </w:rPr>
        <w:t xml:space="preserve"> </w:t>
      </w:r>
      <w:r w:rsidR="004F44E3" w:rsidRPr="00D961B9">
        <w:rPr>
          <w:rFonts w:ascii="Calibri" w:eastAsiaTheme="minorHAnsi" w:hAnsi="Calibri" w:cstheme="minorBidi"/>
          <w:bCs w:val="0"/>
          <w:color w:val="auto"/>
          <w:sz w:val="24"/>
          <w:szCs w:val="24"/>
          <w:lang w:val="en-GB"/>
        </w:rPr>
        <w:t xml:space="preserve">Discussion </w:t>
      </w:r>
    </w:p>
    <w:p w14:paraId="755E8A44" w14:textId="6F38D40C" w:rsidR="004F44E3" w:rsidRPr="00D961B9" w:rsidRDefault="004F44E3" w:rsidP="004F44E3">
      <w:pPr>
        <w:autoSpaceDE w:val="0"/>
        <w:autoSpaceDN w:val="0"/>
        <w:adjustRightInd w:val="0"/>
        <w:spacing w:after="0" w:line="288" w:lineRule="auto"/>
        <w:rPr>
          <w:rFonts w:ascii="Calibri" w:eastAsia="Times New Roman" w:hAnsi="Calibri" w:cs="Times New Roman"/>
          <w:sz w:val="24"/>
          <w:szCs w:val="24"/>
          <w:lang w:val="en-GB" w:eastAsia="fr-FR"/>
        </w:rPr>
      </w:pPr>
      <w:r w:rsidRPr="00D961B9">
        <w:rPr>
          <w:rFonts w:ascii="Calibri" w:eastAsia="Times New Roman" w:hAnsi="Calibri" w:cs="Times New Roman"/>
          <w:sz w:val="24"/>
          <w:szCs w:val="24"/>
          <w:lang w:val="en-GB" w:eastAsia="fr-FR"/>
        </w:rPr>
        <w:t>Widely accepted aspects of good practice</w:t>
      </w:r>
      <w:r w:rsidR="00F4327F" w:rsidRPr="00D961B9">
        <w:rPr>
          <w:rFonts w:ascii="Calibri" w:eastAsia="Times New Roman" w:hAnsi="Calibri" w:cs="Times New Roman"/>
          <w:sz w:val="24"/>
          <w:szCs w:val="24"/>
          <w:lang w:val="en-GB" w:eastAsia="fr-FR"/>
        </w:rPr>
        <w:t xml:space="preserve"> for biodiversity offsets</w:t>
      </w:r>
      <w:r w:rsidRPr="00D961B9">
        <w:rPr>
          <w:rFonts w:ascii="Calibri" w:eastAsia="Times New Roman" w:hAnsi="Calibri" w:cs="Times New Roman"/>
          <w:sz w:val="24"/>
          <w:szCs w:val="24"/>
          <w:lang w:val="en-GB" w:eastAsia="fr-FR"/>
        </w:rPr>
        <w:t>, defined by BBOP (2013) include considerations of</w:t>
      </w:r>
      <w:r w:rsidR="00417AE6" w:rsidRPr="00D961B9">
        <w:rPr>
          <w:rFonts w:ascii="Calibri" w:eastAsia="Times New Roman" w:hAnsi="Calibri" w:cs="Times New Roman"/>
          <w:sz w:val="24"/>
          <w:szCs w:val="24"/>
          <w:lang w:val="en-GB" w:eastAsia="fr-FR"/>
        </w:rPr>
        <w:t>:</w:t>
      </w:r>
      <w:r w:rsidRPr="00D961B9">
        <w:rPr>
          <w:rFonts w:ascii="Calibri" w:eastAsia="Times New Roman" w:hAnsi="Calibri" w:cs="Times New Roman"/>
          <w:sz w:val="24"/>
          <w:szCs w:val="24"/>
          <w:lang w:val="en-GB" w:eastAsia="fr-FR"/>
        </w:rPr>
        <w:t xml:space="preserve"> 1) equity; 2) irreplaceability and vulnerability; 3) long-term conservation outcomes; 4) transparency</w:t>
      </w:r>
      <w:r w:rsidR="00417AE6" w:rsidRPr="00D961B9">
        <w:rPr>
          <w:rFonts w:ascii="Calibri" w:eastAsia="Times New Roman" w:hAnsi="Calibri" w:cs="Times New Roman"/>
          <w:sz w:val="24"/>
          <w:szCs w:val="24"/>
          <w:lang w:val="en-GB" w:eastAsia="fr-FR"/>
        </w:rPr>
        <w:t>;</w:t>
      </w:r>
      <w:r w:rsidRPr="00D961B9">
        <w:rPr>
          <w:rFonts w:ascii="Calibri" w:eastAsia="Times New Roman" w:hAnsi="Calibri" w:cs="Times New Roman"/>
          <w:sz w:val="24"/>
          <w:szCs w:val="24"/>
          <w:lang w:val="en-GB" w:eastAsia="fr-FR"/>
        </w:rPr>
        <w:t xml:space="preserve"> and 5) good science. </w:t>
      </w:r>
      <w:r w:rsidR="00F8421C" w:rsidRPr="00D961B9">
        <w:rPr>
          <w:rFonts w:ascii="Calibri" w:eastAsia="Times New Roman" w:hAnsi="Calibri" w:cs="Times New Roman"/>
          <w:sz w:val="24"/>
          <w:szCs w:val="24"/>
          <w:lang w:val="en-GB" w:eastAsia="fr-FR"/>
        </w:rPr>
        <w:t xml:space="preserve">Our </w:t>
      </w:r>
      <w:r w:rsidRPr="00D961B9">
        <w:rPr>
          <w:rFonts w:ascii="Calibri" w:eastAsia="Times New Roman" w:hAnsi="Calibri" w:cs="Times New Roman"/>
          <w:sz w:val="24"/>
          <w:szCs w:val="24"/>
          <w:lang w:val="en-GB" w:eastAsia="fr-FR"/>
        </w:rPr>
        <w:t>analysis based on comprehensive ecological science and real-world experience from the conceptually similar field of carbon offsets</w:t>
      </w:r>
      <w:r w:rsidR="00F8421C" w:rsidRPr="00D961B9">
        <w:rPr>
          <w:rFonts w:ascii="Calibri" w:eastAsia="Times New Roman" w:hAnsi="Calibri" w:cs="Times New Roman"/>
          <w:sz w:val="24"/>
          <w:szCs w:val="24"/>
          <w:lang w:val="en-GB" w:eastAsia="fr-FR"/>
        </w:rPr>
        <w:t xml:space="preserve"> indicate</w:t>
      </w:r>
      <w:r w:rsidR="00417AE6" w:rsidRPr="00D961B9">
        <w:rPr>
          <w:rFonts w:ascii="Calibri" w:eastAsia="Times New Roman" w:hAnsi="Calibri" w:cs="Times New Roman"/>
          <w:sz w:val="24"/>
          <w:szCs w:val="24"/>
          <w:lang w:val="en-GB" w:eastAsia="fr-FR"/>
        </w:rPr>
        <w:t>s</w:t>
      </w:r>
      <w:r w:rsidR="00F8421C" w:rsidRPr="00D961B9">
        <w:rPr>
          <w:rFonts w:ascii="Calibri" w:eastAsia="Times New Roman" w:hAnsi="Calibri" w:cs="Times New Roman"/>
          <w:sz w:val="24"/>
          <w:szCs w:val="24"/>
          <w:lang w:val="en-GB" w:eastAsia="fr-FR"/>
        </w:rPr>
        <w:t xml:space="preserve"> that</w:t>
      </w:r>
      <w:r w:rsidRPr="00D961B9">
        <w:rPr>
          <w:rFonts w:ascii="Calibri" w:eastAsia="Times New Roman" w:hAnsi="Calibri" w:cs="Times New Roman"/>
          <w:sz w:val="24"/>
          <w:szCs w:val="24"/>
          <w:lang w:val="en-GB" w:eastAsia="fr-FR"/>
        </w:rPr>
        <w:t xml:space="preserve"> the former principles are not well incorporated in several existing </w:t>
      </w:r>
      <w:r w:rsidR="00F8421C" w:rsidRPr="00D961B9">
        <w:rPr>
          <w:rFonts w:ascii="Calibri" w:eastAsia="Times New Roman" w:hAnsi="Calibri" w:cs="Times New Roman"/>
          <w:sz w:val="24"/>
          <w:szCs w:val="24"/>
          <w:lang w:val="en-GB" w:eastAsia="fr-FR"/>
        </w:rPr>
        <w:t xml:space="preserve">and </w:t>
      </w:r>
      <w:r w:rsidRPr="00D961B9">
        <w:rPr>
          <w:rFonts w:ascii="Calibri" w:eastAsia="Times New Roman" w:hAnsi="Calibri" w:cs="Times New Roman"/>
          <w:sz w:val="24"/>
          <w:szCs w:val="24"/>
          <w:lang w:val="en-GB" w:eastAsia="fr-FR"/>
        </w:rPr>
        <w:t xml:space="preserve">highly promoted voluntary biodiversity offset initiatives because of inherent flaws in biodiversity accounting methodologies and offset design approaches. </w:t>
      </w:r>
    </w:p>
    <w:p w14:paraId="46EB5B39" w14:textId="77777777" w:rsidR="00F8421C" w:rsidRPr="00D961B9" w:rsidRDefault="00F8421C" w:rsidP="004F44E3">
      <w:pPr>
        <w:autoSpaceDE w:val="0"/>
        <w:autoSpaceDN w:val="0"/>
        <w:adjustRightInd w:val="0"/>
        <w:spacing w:after="0" w:line="288" w:lineRule="auto"/>
        <w:rPr>
          <w:rFonts w:ascii="Calibri" w:eastAsia="Times New Roman" w:hAnsi="Calibri" w:cs="Times New Roman"/>
          <w:sz w:val="24"/>
          <w:szCs w:val="24"/>
          <w:lang w:val="en-GB" w:eastAsia="fr-FR"/>
        </w:rPr>
      </w:pPr>
    </w:p>
    <w:p w14:paraId="4E1771BF" w14:textId="737CF153" w:rsidR="004F44E3" w:rsidRPr="00D961B9" w:rsidRDefault="00F8421C" w:rsidP="004F44E3">
      <w:pPr>
        <w:autoSpaceDE w:val="0"/>
        <w:autoSpaceDN w:val="0"/>
        <w:adjustRightInd w:val="0"/>
        <w:spacing w:after="0" w:line="288" w:lineRule="auto"/>
        <w:rPr>
          <w:rFonts w:ascii="Calibri" w:eastAsia="Times New Roman" w:hAnsi="Calibri" w:cs="Times New Roman"/>
          <w:sz w:val="24"/>
          <w:szCs w:val="24"/>
          <w:lang w:val="en-GB" w:eastAsia="fr-FR"/>
        </w:rPr>
      </w:pPr>
      <w:r w:rsidRPr="00D961B9">
        <w:rPr>
          <w:rFonts w:ascii="Calibri" w:eastAsia="Times New Roman" w:hAnsi="Calibri" w:cs="Times New Roman"/>
          <w:sz w:val="24"/>
          <w:szCs w:val="24"/>
          <w:lang w:val="en-GB" w:eastAsia="fr-FR"/>
        </w:rPr>
        <w:t>B</w:t>
      </w:r>
      <w:r w:rsidR="004F44E3" w:rsidRPr="00D961B9">
        <w:rPr>
          <w:rFonts w:ascii="Calibri" w:hAnsi="Calibri"/>
          <w:sz w:val="24"/>
          <w:szCs w:val="24"/>
          <w:lang w:val="en-GB"/>
        </w:rPr>
        <w:t>iodiversity offsets share many conceptual features with forest carbon credits in terms of non-project counterfactuals, leakage and permanence risks. For example, afforestation projects yield useful insights for biodiversity restoration, and REDD projects do so for biodiversity conservation. However, important differences exist, mainly due to the fact that carbon is a</w:t>
      </w:r>
      <w:r w:rsidR="00417AE6" w:rsidRPr="00D961B9">
        <w:rPr>
          <w:rFonts w:ascii="Calibri" w:hAnsi="Calibri"/>
          <w:sz w:val="24"/>
          <w:szCs w:val="24"/>
          <w:lang w:val="en-GB"/>
        </w:rPr>
        <w:t xml:space="preserve"> relatively</w:t>
      </w:r>
      <w:r w:rsidR="004F44E3" w:rsidRPr="00D961B9">
        <w:rPr>
          <w:rFonts w:ascii="Calibri" w:hAnsi="Calibri"/>
          <w:sz w:val="24"/>
          <w:szCs w:val="24"/>
          <w:lang w:val="en-GB"/>
        </w:rPr>
        <w:t xml:space="preserve"> easily comparable and exchangeable metric (measured in tonnes of CO</w:t>
      </w:r>
      <w:r w:rsidR="004F44E3" w:rsidRPr="00D961B9">
        <w:rPr>
          <w:rFonts w:ascii="Calibri" w:hAnsi="Calibri"/>
          <w:sz w:val="24"/>
          <w:szCs w:val="24"/>
          <w:vertAlign w:val="subscript"/>
          <w:lang w:val="en-GB"/>
        </w:rPr>
        <w:t>2</w:t>
      </w:r>
      <w:r w:rsidRPr="00D961B9">
        <w:rPr>
          <w:rFonts w:ascii="Calibri" w:hAnsi="Calibri"/>
          <w:sz w:val="24"/>
          <w:szCs w:val="24"/>
          <w:lang w:val="en-GB"/>
        </w:rPr>
        <w:t xml:space="preserve"> </w:t>
      </w:r>
      <w:r w:rsidR="004F44E3" w:rsidRPr="00D961B9">
        <w:rPr>
          <w:rFonts w:ascii="Calibri" w:hAnsi="Calibri"/>
          <w:sz w:val="24"/>
          <w:szCs w:val="24"/>
          <w:lang w:val="en-GB"/>
        </w:rPr>
        <w:t>equivalent).  Although it may be tempting to also create a “one-dimensional” biodiversity metric, our analys</w:t>
      </w:r>
      <w:r w:rsidR="00417AE6" w:rsidRPr="00D961B9">
        <w:rPr>
          <w:rFonts w:ascii="Calibri" w:hAnsi="Calibri"/>
          <w:sz w:val="24"/>
          <w:szCs w:val="24"/>
          <w:lang w:val="en-GB"/>
        </w:rPr>
        <w:t>is</w:t>
      </w:r>
      <w:r w:rsidR="004F44E3" w:rsidRPr="00D961B9">
        <w:rPr>
          <w:rFonts w:ascii="Calibri" w:hAnsi="Calibri"/>
          <w:sz w:val="24"/>
          <w:szCs w:val="24"/>
          <w:lang w:val="en-GB"/>
        </w:rPr>
        <w:t xml:space="preserve"> </w:t>
      </w:r>
      <w:r w:rsidR="00417AE6" w:rsidRPr="00D961B9">
        <w:rPr>
          <w:rFonts w:ascii="Calibri" w:hAnsi="Calibri"/>
          <w:sz w:val="24"/>
          <w:szCs w:val="24"/>
          <w:lang w:val="en-GB"/>
        </w:rPr>
        <w:t xml:space="preserve">in this paper </w:t>
      </w:r>
      <w:r w:rsidR="004F44E3" w:rsidRPr="00D961B9">
        <w:rPr>
          <w:rFonts w:ascii="Calibri" w:hAnsi="Calibri"/>
          <w:sz w:val="24"/>
          <w:szCs w:val="24"/>
          <w:lang w:val="en-GB"/>
        </w:rPr>
        <w:t>demonstrate</w:t>
      </w:r>
      <w:r w:rsidR="00417AE6" w:rsidRPr="00D961B9">
        <w:rPr>
          <w:rFonts w:ascii="Calibri" w:hAnsi="Calibri"/>
          <w:sz w:val="24"/>
          <w:szCs w:val="24"/>
          <w:lang w:val="en-GB"/>
        </w:rPr>
        <w:t>s</w:t>
      </w:r>
      <w:r w:rsidR="004F44E3" w:rsidRPr="00D961B9">
        <w:rPr>
          <w:rFonts w:ascii="Calibri" w:hAnsi="Calibri"/>
          <w:sz w:val="24"/>
          <w:szCs w:val="24"/>
          <w:lang w:val="en-GB"/>
        </w:rPr>
        <w:t xml:space="preserve"> that a variety of biodiversity </w:t>
      </w:r>
      <w:r w:rsidR="00F4327F" w:rsidRPr="00D961B9">
        <w:rPr>
          <w:rFonts w:ascii="Calibri" w:hAnsi="Calibri"/>
          <w:sz w:val="24"/>
          <w:szCs w:val="24"/>
          <w:lang w:val="en-GB"/>
        </w:rPr>
        <w:t>attributes</w:t>
      </w:r>
      <w:r w:rsidR="004F44E3" w:rsidRPr="00D961B9">
        <w:rPr>
          <w:rFonts w:ascii="Calibri" w:hAnsi="Calibri"/>
          <w:sz w:val="24"/>
          <w:szCs w:val="24"/>
          <w:lang w:val="en-GB"/>
        </w:rPr>
        <w:t xml:space="preserve"> need to be considered to capture the much more complex nature of biodiversity, particularly in highly biodiverse regions. This is important not only because key components of biodiversity can be de-coupled from each other but also because parameters such as counterfactual scenarios, realistic </w:t>
      </w:r>
      <w:r w:rsidR="00F4327F" w:rsidRPr="00D961B9">
        <w:rPr>
          <w:rFonts w:ascii="Calibri" w:hAnsi="Calibri"/>
          <w:sz w:val="24"/>
          <w:szCs w:val="24"/>
          <w:lang w:val="en-GB"/>
        </w:rPr>
        <w:t xml:space="preserve">and precautionary </w:t>
      </w:r>
      <w:r w:rsidR="00DC6133" w:rsidRPr="00D961B9">
        <w:rPr>
          <w:rFonts w:ascii="Calibri" w:hAnsi="Calibri"/>
          <w:sz w:val="24"/>
          <w:szCs w:val="24"/>
          <w:lang w:val="en-GB"/>
        </w:rPr>
        <w:t>approaches to</w:t>
      </w:r>
      <w:r w:rsidR="00F4327F" w:rsidRPr="00D961B9">
        <w:rPr>
          <w:rFonts w:ascii="Calibri" w:hAnsi="Calibri"/>
          <w:sz w:val="24"/>
          <w:szCs w:val="24"/>
          <w:lang w:val="en-GB"/>
        </w:rPr>
        <w:t xml:space="preserve"> </w:t>
      </w:r>
      <w:r w:rsidR="004F44E3" w:rsidRPr="00D961B9">
        <w:rPr>
          <w:rFonts w:ascii="Calibri" w:hAnsi="Calibri"/>
          <w:sz w:val="24"/>
          <w:szCs w:val="24"/>
          <w:lang w:val="en-GB"/>
        </w:rPr>
        <w:t xml:space="preserve">effectiveness of compensatory measures, risks of leakage (displacement) of pressures, and permanence of benefits can differ significantly for different biodiversity attributes. </w:t>
      </w:r>
    </w:p>
    <w:p w14:paraId="747396A2" w14:textId="77777777" w:rsidR="004F44E3" w:rsidRPr="00D961B9" w:rsidRDefault="004F44E3" w:rsidP="004F44E3">
      <w:pPr>
        <w:autoSpaceDE w:val="0"/>
        <w:autoSpaceDN w:val="0"/>
        <w:adjustRightInd w:val="0"/>
        <w:spacing w:after="0" w:line="288" w:lineRule="auto"/>
        <w:rPr>
          <w:rFonts w:ascii="Calibri" w:hAnsi="Calibri"/>
          <w:sz w:val="24"/>
          <w:szCs w:val="24"/>
          <w:lang w:val="en-GB"/>
        </w:rPr>
      </w:pPr>
    </w:p>
    <w:p w14:paraId="1166B46C" w14:textId="77777777" w:rsidR="00F8421C" w:rsidRPr="00D961B9" w:rsidRDefault="004F44E3" w:rsidP="004F44E3">
      <w:pPr>
        <w:rPr>
          <w:rFonts w:ascii="Calibri" w:hAnsi="Calibri"/>
          <w:sz w:val="24"/>
          <w:szCs w:val="24"/>
          <w:lang w:val="en-GB"/>
        </w:rPr>
      </w:pPr>
      <w:r w:rsidRPr="00D961B9">
        <w:rPr>
          <w:rFonts w:ascii="Calibri" w:hAnsi="Calibri"/>
          <w:sz w:val="24"/>
          <w:szCs w:val="24"/>
          <w:lang w:val="en-GB"/>
        </w:rPr>
        <w:t xml:space="preserve">It is </w:t>
      </w:r>
      <w:r w:rsidR="00F8421C" w:rsidRPr="00D961B9">
        <w:rPr>
          <w:rFonts w:ascii="Calibri" w:hAnsi="Calibri"/>
          <w:sz w:val="24"/>
          <w:szCs w:val="24"/>
          <w:lang w:val="en-GB"/>
        </w:rPr>
        <w:t xml:space="preserve">therefore </w:t>
      </w:r>
      <w:r w:rsidRPr="00D961B9">
        <w:rPr>
          <w:rFonts w:ascii="Calibri" w:hAnsi="Calibri"/>
          <w:sz w:val="24"/>
          <w:szCs w:val="24"/>
          <w:lang w:val="en-GB"/>
        </w:rPr>
        <w:t>critical that the design of biodiversity offset measures and their accounting approach is transparently laid out and scientifically grounded. Describing how all relevant parameters are rigorously considered in a project, and for each of the key biodiversity attributes in a landscape, is critical for building confidence in the concept of biodiversity offsets itself and, by implication, in the sincerity of environmental stewardship aims by mining companies and other actors</w:t>
      </w:r>
      <w:r w:rsidR="00DC6133" w:rsidRPr="00D961B9">
        <w:rPr>
          <w:rFonts w:ascii="Calibri" w:hAnsi="Calibri"/>
          <w:sz w:val="24"/>
          <w:szCs w:val="24"/>
          <w:lang w:val="en-GB"/>
        </w:rPr>
        <w:t xml:space="preserve"> involved in implementation of offsets</w:t>
      </w:r>
      <w:r w:rsidRPr="00D961B9">
        <w:rPr>
          <w:rFonts w:ascii="Calibri" w:hAnsi="Calibri"/>
          <w:sz w:val="24"/>
          <w:szCs w:val="24"/>
          <w:lang w:val="en-GB"/>
        </w:rPr>
        <w:t xml:space="preserve">. </w:t>
      </w:r>
    </w:p>
    <w:p w14:paraId="2C24588B" w14:textId="1B42F7AA" w:rsidR="00F8421C" w:rsidRPr="00D961B9" w:rsidRDefault="00F8421C" w:rsidP="00F8421C">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GB"/>
        </w:rPr>
        <w:t xml:space="preserve">Based on the considerations in </w:t>
      </w:r>
      <w:r w:rsidR="00DC6133" w:rsidRPr="00D961B9">
        <w:rPr>
          <w:rFonts w:ascii="Calibri" w:hAnsi="Calibri"/>
          <w:sz w:val="24"/>
          <w:szCs w:val="24"/>
          <w:lang w:val="en-GB"/>
        </w:rPr>
        <w:t>this paper,</w:t>
      </w:r>
      <w:r w:rsidRPr="00D961B9">
        <w:rPr>
          <w:rFonts w:ascii="Calibri" w:hAnsi="Calibri"/>
          <w:sz w:val="24"/>
          <w:szCs w:val="24"/>
          <w:lang w:val="en-GB"/>
        </w:rPr>
        <w:t xml:space="preserve"> we propose a comprehensive formula that incorporates several critical parameters and allows for a scientifically robust manner to calculate net biodiversity impacts</w:t>
      </w:r>
      <w:r w:rsidR="00771574" w:rsidRPr="00D961B9">
        <w:rPr>
          <w:rFonts w:ascii="Calibri" w:hAnsi="Calibri"/>
          <w:sz w:val="24"/>
          <w:szCs w:val="24"/>
          <w:lang w:val="en-GB"/>
        </w:rPr>
        <w:t xml:space="preserve"> (Figure A.1</w:t>
      </w:r>
      <w:r w:rsidR="00A167E7" w:rsidRPr="00D961B9">
        <w:rPr>
          <w:rFonts w:ascii="Calibri" w:hAnsi="Calibri"/>
          <w:sz w:val="24"/>
          <w:szCs w:val="24"/>
          <w:lang w:val="en-GB"/>
        </w:rPr>
        <w:t>)</w:t>
      </w:r>
      <w:r w:rsidRPr="00D961B9">
        <w:rPr>
          <w:rFonts w:ascii="Calibri" w:hAnsi="Calibri"/>
          <w:sz w:val="24"/>
          <w:szCs w:val="24"/>
          <w:lang w:val="en-GB"/>
        </w:rPr>
        <w:t>. This allows for a transparent estimate of whether no-net-loss is, in fact, achieved by a biodiversity offset programme. It is expressed as follows</w:t>
      </w:r>
      <w:r w:rsidR="00C6237A" w:rsidRPr="00D961B9">
        <w:rPr>
          <w:rFonts w:ascii="Calibri" w:hAnsi="Calibri"/>
          <w:sz w:val="24"/>
          <w:szCs w:val="24"/>
          <w:lang w:val="en-GB"/>
        </w:rPr>
        <w:t xml:space="preserve"> for compensatory activities at offset site to averting risks to biodiversity loss (see Figure A.1</w:t>
      </w:r>
      <w:r w:rsidR="00DC6133" w:rsidRPr="00D961B9">
        <w:rPr>
          <w:rFonts w:ascii="Calibri" w:hAnsi="Calibri"/>
          <w:sz w:val="24"/>
          <w:szCs w:val="24"/>
          <w:lang w:val="en-GB"/>
        </w:rPr>
        <w:t>)</w:t>
      </w:r>
      <w:r w:rsidR="00C6237A" w:rsidRPr="00D961B9">
        <w:rPr>
          <w:rFonts w:ascii="Calibri" w:hAnsi="Calibri"/>
          <w:sz w:val="24"/>
          <w:szCs w:val="24"/>
          <w:lang w:val="en-GB"/>
        </w:rPr>
        <w:t>, and also for positive interventions to enhance biodiversity (e.g. restoration)</w:t>
      </w:r>
      <w:r w:rsidRPr="00D961B9">
        <w:rPr>
          <w:rFonts w:ascii="Calibri" w:hAnsi="Calibri"/>
          <w:sz w:val="24"/>
          <w:szCs w:val="24"/>
          <w:lang w:val="en-GB"/>
        </w:rPr>
        <w:t xml:space="preserve">: </w:t>
      </w:r>
    </w:p>
    <w:p w14:paraId="0965A703" w14:textId="77777777" w:rsidR="00F8421C" w:rsidRPr="00D961B9" w:rsidRDefault="00F8421C" w:rsidP="00F8421C">
      <w:pPr>
        <w:autoSpaceDE w:val="0"/>
        <w:autoSpaceDN w:val="0"/>
        <w:adjustRightInd w:val="0"/>
        <w:spacing w:after="0" w:line="288" w:lineRule="auto"/>
        <w:rPr>
          <w:rFonts w:ascii="Calibri" w:hAnsi="Calibri"/>
          <w:sz w:val="24"/>
          <w:szCs w:val="24"/>
          <w:lang w:val="en-GB"/>
        </w:rPr>
      </w:pPr>
    </w:p>
    <w:p w14:paraId="1BC4E1C1" w14:textId="7323E7A2" w:rsidR="00DC6133" w:rsidRPr="00D961B9" w:rsidRDefault="00F8421C" w:rsidP="00F8421C">
      <w:pPr>
        <w:autoSpaceDE w:val="0"/>
        <w:autoSpaceDN w:val="0"/>
        <w:adjustRightInd w:val="0"/>
        <w:spacing w:line="288" w:lineRule="auto"/>
        <w:rPr>
          <w:rFonts w:ascii="Calibri" w:eastAsiaTheme="minorEastAsia" w:hAnsi="Calibri"/>
          <w:sz w:val="24"/>
          <w:szCs w:val="24"/>
          <w:lang w:val="en-GB"/>
        </w:rPr>
      </w:pPr>
      <w:r w:rsidRPr="00D961B9">
        <w:rPr>
          <w:rFonts w:ascii="Calibri" w:hAnsi="Calibri"/>
          <w:sz w:val="24"/>
          <w:szCs w:val="24"/>
          <w:lang w:val="en-GB"/>
        </w:rPr>
        <w:t xml:space="preserve">Biodiversity net impact:  </w:t>
      </w:r>
      <m:oMath>
        <m:nary>
          <m:naryPr>
            <m:chr m:val="∑"/>
            <m:limLoc m:val="undOvr"/>
            <m:ctrlPr>
              <w:rPr>
                <w:rFonts w:ascii="Cambria Math" w:hAnsi="Cambria Math"/>
                <w:i/>
                <w:sz w:val="24"/>
                <w:szCs w:val="24"/>
                <w:lang w:val="en-GB"/>
              </w:rPr>
            </m:ctrlPr>
          </m:naryPr>
          <m:sub>
            <m:r>
              <w:rPr>
                <w:rFonts w:ascii="Cambria Math" w:hAnsi="Cambria Math"/>
                <w:sz w:val="24"/>
                <w:szCs w:val="24"/>
                <w:lang w:val="en-GB"/>
              </w:rPr>
              <m:t>c=i</m:t>
            </m:r>
          </m:sub>
          <m:sup>
            <m:r>
              <w:rPr>
                <w:rFonts w:ascii="Cambria Math" w:hAnsi="Cambria Math"/>
                <w:sz w:val="24"/>
                <w:szCs w:val="24"/>
                <w:lang w:val="en-GB"/>
              </w:rPr>
              <m:t>n</m:t>
            </m:r>
          </m:sup>
          <m:e>
            <m:r>
              <m:rPr>
                <m:sty m:val="p"/>
              </m:rPr>
              <w:rPr>
                <w:rFonts w:ascii="Cambria Math" w:eastAsiaTheme="minorEastAsia" w:hAnsi="Cambria Math"/>
                <w:sz w:val="24"/>
                <w:szCs w:val="24"/>
                <w:lang w:val="en-GB"/>
              </w:rPr>
              <m:t>a</m:t>
            </m:r>
            <m:r>
              <m:rPr>
                <m:sty m:val="p"/>
              </m:rPr>
              <w:rPr>
                <w:rFonts w:ascii="Cambria Math" w:eastAsiaTheme="minorEastAsia" w:hAnsi="Cambria Math"/>
                <w:position w:val="-6"/>
                <w:sz w:val="24"/>
                <w:szCs w:val="24"/>
                <w:vertAlign w:val="subscript"/>
                <w:lang w:val="en-GB"/>
              </w:rPr>
              <m:t>i</m:t>
            </m:r>
            <m:r>
              <w:rPr>
                <w:rFonts w:ascii="Cambria Math" w:hAnsi="Cambria Math"/>
                <w:sz w:val="24"/>
                <w:szCs w:val="24"/>
                <w:lang w:val="en-GB"/>
              </w:rPr>
              <m:t>-b</m:t>
            </m:r>
            <m:r>
              <w:rPr>
                <w:rFonts w:ascii="Cambria Math" w:hAnsi="Cambria Math"/>
                <w:position w:val="-6"/>
                <w:sz w:val="24"/>
                <w:szCs w:val="24"/>
                <w:lang w:val="en-GB"/>
              </w:rPr>
              <m:t>i</m:t>
            </m:r>
            <m:r>
              <w:rPr>
                <w:rFonts w:ascii="Cambria Math" w:hAnsi="Cambria Math"/>
                <w:sz w:val="24"/>
                <w:szCs w:val="24"/>
                <w:lang w:val="en-GB"/>
              </w:rPr>
              <m:t xml:space="preserve">  </m:t>
            </m:r>
          </m:e>
        </m:nary>
      </m:oMath>
      <w:r w:rsidRPr="00D961B9">
        <w:rPr>
          <w:rFonts w:ascii="Calibri" w:eastAsiaTheme="minorEastAsia" w:hAnsi="Calibri"/>
          <w:sz w:val="24"/>
          <w:szCs w:val="24"/>
          <w:lang w:val="en-GB"/>
        </w:rPr>
        <w:t xml:space="preserve"> (2)</w:t>
      </w:r>
    </w:p>
    <w:p w14:paraId="6B155D69" w14:textId="437A1881" w:rsidR="00F8421C" w:rsidRPr="00D961B9" w:rsidRDefault="00F8421C" w:rsidP="00F8421C">
      <w:pPr>
        <w:autoSpaceDE w:val="0"/>
        <w:autoSpaceDN w:val="0"/>
        <w:adjustRightInd w:val="0"/>
        <w:spacing w:line="288" w:lineRule="auto"/>
        <w:rPr>
          <w:rFonts w:ascii="Calibri" w:hAnsi="Calibri"/>
          <w:sz w:val="24"/>
          <w:szCs w:val="24"/>
          <w:lang w:val="en-GB"/>
        </w:rPr>
      </w:pPr>
      <w:r w:rsidRPr="00D961B9">
        <w:rPr>
          <w:rFonts w:ascii="Calibri" w:eastAsiaTheme="minorEastAsia" w:hAnsi="Calibri"/>
          <w:sz w:val="24"/>
          <w:szCs w:val="24"/>
          <w:lang w:val="en-GB"/>
        </w:rPr>
        <w:t xml:space="preserve">where </w:t>
      </w:r>
    </w:p>
    <w:p w14:paraId="2DAD7D1B" w14:textId="3E0AE102" w:rsidR="00F8421C" w:rsidRPr="00D961B9" w:rsidRDefault="00F8421C" w:rsidP="00F8421C">
      <w:pPr>
        <w:autoSpaceDE w:val="0"/>
        <w:autoSpaceDN w:val="0"/>
        <w:adjustRightInd w:val="0"/>
        <w:spacing w:line="288" w:lineRule="auto"/>
        <w:rPr>
          <w:rFonts w:ascii="Calibri" w:eastAsiaTheme="minorEastAsia" w:hAnsi="Calibri"/>
          <w:sz w:val="24"/>
          <w:szCs w:val="24"/>
          <w:lang w:val="en-GB"/>
        </w:rPr>
      </w:pPr>
      <w:r w:rsidRPr="00D961B9">
        <w:rPr>
          <w:rFonts w:ascii="Calibri" w:eastAsiaTheme="minorEastAsia" w:hAnsi="Calibri"/>
          <w:i/>
          <w:sz w:val="24"/>
          <w:szCs w:val="24"/>
          <w:lang w:val="en-GB"/>
        </w:rPr>
        <w:t>c</w:t>
      </w:r>
      <w:r w:rsidRPr="00D961B9">
        <w:rPr>
          <w:rFonts w:ascii="Calibri" w:eastAsiaTheme="minorEastAsia" w:hAnsi="Calibri"/>
          <w:sz w:val="24"/>
          <w:szCs w:val="24"/>
          <w:lang w:val="en-GB"/>
        </w:rPr>
        <w:t xml:space="preserve"> is the value of a given biodiversity attribute of 1 to n, or the overall conservation significan</w:t>
      </w:r>
      <w:r w:rsidR="00DC6133" w:rsidRPr="00D961B9">
        <w:rPr>
          <w:rFonts w:ascii="Calibri" w:eastAsiaTheme="minorEastAsia" w:hAnsi="Calibri"/>
          <w:sz w:val="24"/>
          <w:szCs w:val="24"/>
          <w:lang w:val="en-GB"/>
        </w:rPr>
        <w:t>ce</w:t>
      </w:r>
      <w:r w:rsidRPr="00D961B9">
        <w:rPr>
          <w:rFonts w:ascii="Calibri" w:eastAsiaTheme="minorEastAsia" w:hAnsi="Calibri"/>
          <w:sz w:val="24"/>
          <w:szCs w:val="24"/>
          <w:lang w:val="en-GB"/>
        </w:rPr>
        <w:t xml:space="preserve"> index</w:t>
      </w:r>
    </w:p>
    <w:p w14:paraId="73A5474D" w14:textId="77777777" w:rsidR="00F8421C" w:rsidRPr="00D961B9" w:rsidRDefault="00F8421C" w:rsidP="00F8421C">
      <w:pPr>
        <w:autoSpaceDE w:val="0"/>
        <w:autoSpaceDN w:val="0"/>
        <w:adjustRightInd w:val="0"/>
        <w:spacing w:line="288" w:lineRule="auto"/>
        <w:rPr>
          <w:rFonts w:ascii="Calibri" w:eastAsiaTheme="minorEastAsia" w:hAnsi="Calibri"/>
          <w:sz w:val="24"/>
          <w:szCs w:val="24"/>
          <w:lang w:val="en-GB"/>
        </w:rPr>
      </w:pPr>
      <w:r w:rsidRPr="00D961B9">
        <w:rPr>
          <w:rFonts w:ascii="Calibri" w:eastAsiaTheme="minorEastAsia" w:hAnsi="Calibri"/>
          <w:i/>
          <w:sz w:val="24"/>
          <w:szCs w:val="24"/>
          <w:lang w:val="en-GB"/>
        </w:rPr>
        <w:t>a</w:t>
      </w:r>
      <w:r w:rsidRPr="00D961B9">
        <w:rPr>
          <w:rFonts w:ascii="Calibri" w:eastAsiaTheme="minorEastAsia" w:hAnsi="Calibri"/>
          <w:sz w:val="24"/>
          <w:szCs w:val="24"/>
          <w:lang w:val="en-GB"/>
        </w:rPr>
        <w:t xml:space="preserve"> is the offset site/s, and </w:t>
      </w:r>
    </w:p>
    <w:p w14:paraId="26AD54A7" w14:textId="77777777" w:rsidR="00F8421C" w:rsidRPr="00D961B9" w:rsidRDefault="00F8421C" w:rsidP="00F8421C">
      <w:pPr>
        <w:autoSpaceDE w:val="0"/>
        <w:autoSpaceDN w:val="0"/>
        <w:adjustRightInd w:val="0"/>
        <w:spacing w:line="288" w:lineRule="auto"/>
        <w:rPr>
          <w:rFonts w:ascii="Calibri" w:eastAsiaTheme="minorEastAsia" w:hAnsi="Calibri"/>
          <w:sz w:val="24"/>
          <w:szCs w:val="24"/>
          <w:lang w:val="en-GB"/>
        </w:rPr>
      </w:pPr>
      <w:r w:rsidRPr="00D961B9">
        <w:rPr>
          <w:rFonts w:ascii="Calibri" w:eastAsiaTheme="minorEastAsia" w:hAnsi="Calibri"/>
          <w:i/>
          <w:sz w:val="24"/>
          <w:szCs w:val="24"/>
          <w:lang w:val="en-GB"/>
        </w:rPr>
        <w:t>b</w:t>
      </w:r>
      <w:r w:rsidRPr="00D961B9">
        <w:rPr>
          <w:rFonts w:ascii="Calibri" w:eastAsiaTheme="minorEastAsia" w:hAnsi="Calibri"/>
          <w:sz w:val="24"/>
          <w:szCs w:val="24"/>
          <w:lang w:val="en-GB"/>
        </w:rPr>
        <w:t xml:space="preserve"> is the impacted site/s </w:t>
      </w:r>
    </w:p>
    <w:p w14:paraId="629551EC" w14:textId="77777777" w:rsidR="00F8421C" w:rsidRPr="00D961B9" w:rsidRDefault="00F8421C" w:rsidP="00F8421C">
      <w:pPr>
        <w:autoSpaceDE w:val="0"/>
        <w:autoSpaceDN w:val="0"/>
        <w:adjustRightInd w:val="0"/>
        <w:spacing w:line="288" w:lineRule="auto"/>
        <w:rPr>
          <w:rFonts w:ascii="Calibri" w:eastAsiaTheme="minorEastAsia" w:hAnsi="Calibri"/>
          <w:sz w:val="24"/>
          <w:szCs w:val="24"/>
          <w:vertAlign w:val="subscript"/>
          <w:lang w:val="en-GB"/>
        </w:rPr>
      </w:pPr>
      <w:r w:rsidRPr="00D961B9">
        <w:rPr>
          <w:rFonts w:ascii="Calibri" w:eastAsiaTheme="minorEastAsia" w:hAnsi="Calibri"/>
          <w:sz w:val="24"/>
          <w:szCs w:val="24"/>
          <w:lang w:val="en-GB"/>
        </w:rPr>
        <w:t>a</w:t>
      </w:r>
      <w:r w:rsidRPr="00D961B9">
        <w:rPr>
          <w:rFonts w:ascii="Calibri" w:eastAsiaTheme="minorEastAsia" w:hAnsi="Calibri"/>
          <w:sz w:val="24"/>
          <w:szCs w:val="24"/>
          <w:vertAlign w:val="subscript"/>
          <w:lang w:val="en-GB"/>
        </w:rPr>
        <w:t xml:space="preserve">i </w:t>
      </w:r>
      <w:r w:rsidRPr="00D961B9">
        <w:rPr>
          <w:rFonts w:ascii="Calibri" w:eastAsiaTheme="minorEastAsia" w:hAnsi="Calibri"/>
          <w:sz w:val="24"/>
          <w:szCs w:val="24"/>
          <w:lang w:val="en-GB"/>
        </w:rPr>
        <w:t>= ((counterfactual scenario x conversion factor) x % effectiveness x (1</w:t>
      </w:r>
      <w:r w:rsidR="00DC6133" w:rsidRPr="00D961B9">
        <w:rPr>
          <w:rFonts w:ascii="Calibri" w:eastAsiaTheme="minorEastAsia" w:hAnsi="Calibri"/>
          <w:sz w:val="24"/>
          <w:szCs w:val="24"/>
          <w:lang w:val="en-GB"/>
        </w:rPr>
        <w:t xml:space="preserve"> </w:t>
      </w:r>
      <w:r w:rsidRPr="00D961B9">
        <w:rPr>
          <w:rFonts w:ascii="Calibri" w:eastAsiaTheme="minorEastAsia" w:hAnsi="Calibri"/>
          <w:sz w:val="24"/>
          <w:szCs w:val="24"/>
          <w:lang w:val="en-GB"/>
        </w:rPr>
        <w:t>- % leakage))</w:t>
      </w:r>
      <w:r w:rsidRPr="00D961B9">
        <w:rPr>
          <w:rFonts w:ascii="Calibri" w:eastAsiaTheme="minorEastAsia" w:hAnsi="Calibri"/>
          <w:sz w:val="24"/>
          <w:szCs w:val="24"/>
          <w:vertAlign w:val="subscript"/>
          <w:lang w:val="en-GB"/>
        </w:rPr>
        <w:t xml:space="preserve">c </w:t>
      </w:r>
      <w:r w:rsidRPr="00D961B9">
        <w:rPr>
          <w:rFonts w:ascii="Calibri" w:eastAsiaTheme="minorEastAsia" w:hAnsi="Calibri"/>
          <w:sz w:val="24"/>
          <w:szCs w:val="24"/>
          <w:lang w:val="en-GB"/>
        </w:rPr>
        <w:t>x (offset area x value c)</w:t>
      </w:r>
      <w:r w:rsidRPr="00D961B9">
        <w:rPr>
          <w:rFonts w:ascii="Calibri" w:eastAsiaTheme="minorEastAsia" w:hAnsi="Calibri"/>
          <w:sz w:val="24"/>
          <w:szCs w:val="24"/>
          <w:vertAlign w:val="subscript"/>
          <w:lang w:val="en-GB"/>
        </w:rPr>
        <w:t>c</w:t>
      </w:r>
    </w:p>
    <w:p w14:paraId="1574C0F9" w14:textId="77777777" w:rsidR="00F8421C" w:rsidRPr="00D961B9" w:rsidRDefault="00F8421C" w:rsidP="00F8421C">
      <w:pPr>
        <w:autoSpaceDE w:val="0"/>
        <w:autoSpaceDN w:val="0"/>
        <w:adjustRightInd w:val="0"/>
        <w:spacing w:line="288" w:lineRule="auto"/>
        <w:rPr>
          <w:rFonts w:ascii="Calibri" w:hAnsi="Calibri"/>
          <w:sz w:val="24"/>
          <w:szCs w:val="24"/>
          <w:vertAlign w:val="superscript"/>
          <w:lang w:val="en-GB"/>
        </w:rPr>
      </w:pPr>
      <w:r w:rsidRPr="00D961B9">
        <w:rPr>
          <w:rFonts w:ascii="Calibri" w:eastAsiaTheme="minorEastAsia" w:hAnsi="Calibri"/>
          <w:sz w:val="24"/>
          <w:szCs w:val="24"/>
          <w:lang w:val="en-GB"/>
        </w:rPr>
        <w:t>b</w:t>
      </w:r>
      <w:r w:rsidRPr="00D961B9">
        <w:rPr>
          <w:rFonts w:ascii="Calibri" w:eastAsiaTheme="minorEastAsia" w:hAnsi="Calibri"/>
          <w:sz w:val="24"/>
          <w:szCs w:val="24"/>
          <w:vertAlign w:val="subscript"/>
          <w:lang w:val="en-GB"/>
        </w:rPr>
        <w:t xml:space="preserve">i </w:t>
      </w:r>
      <w:r w:rsidRPr="00D961B9">
        <w:rPr>
          <w:rFonts w:ascii="Calibri" w:eastAsiaTheme="minorEastAsia" w:hAnsi="Calibri"/>
          <w:sz w:val="24"/>
          <w:szCs w:val="24"/>
          <w:lang w:val="en-GB"/>
        </w:rPr>
        <w:t>= (</w:t>
      </w:r>
      <w:r w:rsidRPr="00D961B9">
        <w:rPr>
          <w:rFonts w:ascii="Calibri" w:hAnsi="Calibri"/>
          <w:sz w:val="24"/>
          <w:szCs w:val="24"/>
          <w:lang w:val="en-GB"/>
        </w:rPr>
        <w:t>counterfactual scenario x (1 - % leakage))</w:t>
      </w:r>
      <w:r w:rsidRPr="00D961B9">
        <w:rPr>
          <w:rFonts w:ascii="Calibri" w:hAnsi="Calibri"/>
          <w:sz w:val="24"/>
          <w:szCs w:val="24"/>
          <w:vertAlign w:val="subscript"/>
          <w:lang w:val="en-GB"/>
        </w:rPr>
        <w:t>c</w:t>
      </w:r>
      <w:r w:rsidRPr="00D961B9">
        <w:rPr>
          <w:rFonts w:ascii="Calibri" w:hAnsi="Calibri"/>
          <w:sz w:val="24"/>
          <w:szCs w:val="24"/>
          <w:lang w:val="en-GB"/>
        </w:rPr>
        <w:t xml:space="preserve"> x ( impacted area x value c</w:t>
      </w:r>
      <w:r w:rsidRPr="00D961B9">
        <w:rPr>
          <w:rFonts w:ascii="Calibri" w:hAnsi="Calibri"/>
          <w:sz w:val="24"/>
          <w:szCs w:val="24"/>
          <w:vertAlign w:val="superscript"/>
          <w:lang w:val="en-GB"/>
        </w:rPr>
        <w:t xml:space="preserve"> </w:t>
      </w:r>
      <w:r w:rsidRPr="00D961B9">
        <w:rPr>
          <w:rFonts w:ascii="Calibri" w:hAnsi="Calibri"/>
          <w:sz w:val="24"/>
          <w:szCs w:val="24"/>
          <w:lang w:val="en-GB"/>
        </w:rPr>
        <w:t>)</w:t>
      </w:r>
      <w:r w:rsidRPr="00D961B9">
        <w:rPr>
          <w:rFonts w:ascii="Calibri" w:hAnsi="Calibri"/>
          <w:sz w:val="24"/>
          <w:szCs w:val="24"/>
          <w:vertAlign w:val="superscript"/>
          <w:lang w:val="en-GB"/>
        </w:rPr>
        <w:t xml:space="preserve">  </w:t>
      </w:r>
    </w:p>
    <w:p w14:paraId="3B1BDC0F" w14:textId="4266E2E4" w:rsidR="00D87788" w:rsidRPr="00D961B9" w:rsidRDefault="00F8421C" w:rsidP="00C534AC">
      <w:pPr>
        <w:shd w:val="clear" w:color="auto" w:fill="FFFFFF" w:themeFill="background1"/>
        <w:autoSpaceDE w:val="0"/>
        <w:autoSpaceDN w:val="0"/>
        <w:adjustRightInd w:val="0"/>
        <w:spacing w:after="0" w:line="288" w:lineRule="auto"/>
        <w:rPr>
          <w:rFonts w:ascii="Calibri" w:hAnsi="Calibri"/>
          <w:sz w:val="23"/>
          <w:szCs w:val="23"/>
          <w:lang w:val="en-GB"/>
        </w:rPr>
      </w:pPr>
      <w:r w:rsidRPr="00D961B9">
        <w:rPr>
          <w:rFonts w:ascii="Calibri" w:eastAsiaTheme="minorEastAsia" w:hAnsi="Calibri"/>
          <w:sz w:val="24"/>
          <w:szCs w:val="24"/>
          <w:lang w:val="en-GB"/>
        </w:rPr>
        <w:lastRenderedPageBreak/>
        <w:t>We provide an example of how this formula can be applied in practice by using the Rio Tinto</w:t>
      </w:r>
      <w:r w:rsidR="00DC6133" w:rsidRPr="00D961B9">
        <w:rPr>
          <w:rFonts w:ascii="Calibri" w:eastAsiaTheme="minorEastAsia" w:hAnsi="Calibri"/>
          <w:sz w:val="24"/>
          <w:szCs w:val="24"/>
          <w:lang w:val="en-GB"/>
        </w:rPr>
        <w:t>-QMM</w:t>
      </w:r>
      <w:r w:rsidRPr="00D961B9">
        <w:rPr>
          <w:rFonts w:ascii="Calibri" w:eastAsiaTheme="minorEastAsia" w:hAnsi="Calibri"/>
          <w:sz w:val="24"/>
          <w:szCs w:val="24"/>
          <w:lang w:val="en-GB"/>
        </w:rPr>
        <w:t xml:space="preserve"> case in the littoral forest of Madagascar. </w:t>
      </w:r>
      <w:r w:rsidR="00C534AC" w:rsidRPr="00D961B9">
        <w:rPr>
          <w:rFonts w:ascii="Calibri" w:eastAsiaTheme="minorEastAsia" w:hAnsi="Calibri"/>
          <w:sz w:val="24"/>
          <w:szCs w:val="24"/>
          <w:lang w:val="en-GB"/>
        </w:rPr>
        <w:t>The r</w:t>
      </w:r>
      <w:r w:rsidR="00C534AC" w:rsidRPr="00D961B9">
        <w:rPr>
          <w:rFonts w:ascii="Calibri" w:hAnsi="Calibri"/>
          <w:sz w:val="23"/>
          <w:szCs w:val="23"/>
          <w:lang w:val="en-GB"/>
        </w:rPr>
        <w:t xml:space="preserve">esults indicated that whether Rio Tinto-QMM is predicted to achieve mining with no-net biodiversity loss in the next 60 years </w:t>
      </w:r>
      <w:r w:rsidR="00F4327F" w:rsidRPr="00D961B9">
        <w:rPr>
          <w:rFonts w:ascii="Calibri" w:hAnsi="Calibri"/>
          <w:sz w:val="23"/>
          <w:szCs w:val="23"/>
          <w:lang w:val="en-GB"/>
        </w:rPr>
        <w:t xml:space="preserve">of mining </w:t>
      </w:r>
      <w:r w:rsidR="00C534AC" w:rsidRPr="00D961B9">
        <w:rPr>
          <w:rFonts w:ascii="Calibri" w:hAnsi="Calibri"/>
          <w:sz w:val="23"/>
          <w:szCs w:val="23"/>
          <w:lang w:val="en-GB"/>
        </w:rPr>
        <w:t xml:space="preserve">is primarily dependent </w:t>
      </w:r>
      <w:r w:rsidR="000D6C34" w:rsidRPr="00D961B9">
        <w:rPr>
          <w:rFonts w:ascii="Calibri" w:hAnsi="Calibri"/>
          <w:sz w:val="23"/>
          <w:szCs w:val="23"/>
          <w:lang w:val="en-GB"/>
        </w:rPr>
        <w:t>the parameters used from formula 2</w:t>
      </w:r>
      <w:r w:rsidR="00C534AC" w:rsidRPr="00D961B9">
        <w:rPr>
          <w:rFonts w:ascii="Calibri" w:hAnsi="Calibri"/>
          <w:sz w:val="23"/>
          <w:szCs w:val="23"/>
          <w:lang w:val="en-GB"/>
        </w:rPr>
        <w:t xml:space="preserve">. Under a low projected deforestation rate </w:t>
      </w:r>
      <w:r w:rsidR="00A167E7" w:rsidRPr="00D961B9">
        <w:rPr>
          <w:rFonts w:ascii="Calibri" w:hAnsi="Calibri"/>
          <w:sz w:val="23"/>
          <w:szCs w:val="23"/>
          <w:lang w:val="en-GB"/>
        </w:rPr>
        <w:t xml:space="preserve">counterfactual </w:t>
      </w:r>
      <w:r w:rsidR="00C534AC" w:rsidRPr="00D961B9">
        <w:rPr>
          <w:rFonts w:ascii="Calibri" w:hAnsi="Calibri"/>
          <w:sz w:val="23"/>
          <w:szCs w:val="23"/>
          <w:lang w:val="en-GB"/>
        </w:rPr>
        <w:t>scenario, there is no net gain for the Rio Tinto-QMM project</w:t>
      </w:r>
      <w:r w:rsidR="00F4327F" w:rsidRPr="00D961B9">
        <w:rPr>
          <w:rFonts w:ascii="Calibri" w:hAnsi="Calibri"/>
          <w:sz w:val="23"/>
          <w:szCs w:val="23"/>
          <w:lang w:val="en-GB"/>
        </w:rPr>
        <w:t xml:space="preserve"> based on any of the biodiversity attributes</w:t>
      </w:r>
      <w:r w:rsidR="00C534AC" w:rsidRPr="00D961B9">
        <w:rPr>
          <w:rFonts w:ascii="Calibri" w:hAnsi="Calibri"/>
          <w:sz w:val="23"/>
          <w:szCs w:val="23"/>
          <w:lang w:val="en-GB"/>
        </w:rPr>
        <w:t>, but this changes as the projected deforestatio</w:t>
      </w:r>
      <w:r w:rsidR="00F4327F" w:rsidRPr="00D961B9">
        <w:rPr>
          <w:rFonts w:ascii="Calibri" w:hAnsi="Calibri"/>
          <w:sz w:val="23"/>
          <w:szCs w:val="23"/>
          <w:lang w:val="en-GB"/>
        </w:rPr>
        <w:t>n rate is increased to above 0.3%</w:t>
      </w:r>
      <w:r w:rsidR="00C534AC" w:rsidRPr="00D961B9">
        <w:rPr>
          <w:rFonts w:ascii="Calibri" w:hAnsi="Calibri"/>
          <w:sz w:val="23"/>
          <w:szCs w:val="23"/>
          <w:lang w:val="en-GB"/>
        </w:rPr>
        <w:t xml:space="preserve"> (</w:t>
      </w:r>
      <w:r w:rsidR="00D87788" w:rsidRPr="00D961B9">
        <w:rPr>
          <w:rFonts w:ascii="Calibri" w:hAnsi="Calibri"/>
          <w:sz w:val="23"/>
          <w:szCs w:val="23"/>
          <w:lang w:val="en-GB"/>
        </w:rPr>
        <w:t>based on</w:t>
      </w:r>
      <w:r w:rsidR="00C534AC" w:rsidRPr="00D961B9">
        <w:rPr>
          <w:rFonts w:ascii="Calibri" w:hAnsi="Calibri"/>
          <w:sz w:val="23"/>
          <w:szCs w:val="23"/>
          <w:lang w:val="en-GB"/>
        </w:rPr>
        <w:t xml:space="preserve"> Rio Tinto–QMM vertical structure </w:t>
      </w:r>
      <w:r w:rsidR="00D87788" w:rsidRPr="00D961B9">
        <w:rPr>
          <w:rFonts w:ascii="Calibri" w:hAnsi="Calibri"/>
          <w:sz w:val="23"/>
          <w:szCs w:val="23"/>
          <w:lang w:val="en-GB"/>
        </w:rPr>
        <w:t>methodology</w:t>
      </w:r>
      <w:r w:rsidR="00C534AC" w:rsidRPr="00D961B9">
        <w:rPr>
          <w:rFonts w:ascii="Calibri" w:hAnsi="Calibri"/>
          <w:sz w:val="23"/>
          <w:szCs w:val="23"/>
          <w:lang w:val="en-GB"/>
        </w:rPr>
        <w:t xml:space="preserve">) to </w:t>
      </w:r>
      <w:r w:rsidR="00F4327F" w:rsidRPr="00D961B9">
        <w:rPr>
          <w:rFonts w:ascii="Calibri" w:hAnsi="Calibri"/>
          <w:sz w:val="23"/>
          <w:szCs w:val="23"/>
          <w:lang w:val="en-GB"/>
        </w:rPr>
        <w:t>0.6</w:t>
      </w:r>
      <w:r w:rsidR="00C534AC" w:rsidRPr="00D961B9">
        <w:rPr>
          <w:rFonts w:ascii="Calibri" w:hAnsi="Calibri"/>
          <w:sz w:val="23"/>
          <w:szCs w:val="23"/>
          <w:lang w:val="en-GB"/>
        </w:rPr>
        <w:t xml:space="preserve"> % (</w:t>
      </w:r>
      <w:r w:rsidR="00D87788" w:rsidRPr="00D961B9">
        <w:rPr>
          <w:rFonts w:ascii="Calibri" w:hAnsi="Calibri"/>
          <w:sz w:val="23"/>
          <w:szCs w:val="23"/>
          <w:lang w:val="en-GB"/>
        </w:rPr>
        <w:t>based on</w:t>
      </w:r>
      <w:r w:rsidR="00C534AC" w:rsidRPr="00D961B9">
        <w:rPr>
          <w:rFonts w:ascii="Calibri" w:hAnsi="Calibri"/>
          <w:sz w:val="23"/>
          <w:szCs w:val="23"/>
          <w:lang w:val="en-GB"/>
        </w:rPr>
        <w:t xml:space="preserve"> the average diversity methodology </w:t>
      </w:r>
      <w:r w:rsidR="00A167E7" w:rsidRPr="00D961B9">
        <w:rPr>
          <w:rFonts w:ascii="Calibri" w:hAnsi="Calibri"/>
          <w:sz w:val="23"/>
          <w:szCs w:val="23"/>
          <w:lang w:val="en-GB"/>
        </w:rPr>
        <w:t>estimated from</w:t>
      </w:r>
      <w:r w:rsidR="00C534AC" w:rsidRPr="00D961B9">
        <w:rPr>
          <w:rFonts w:ascii="Calibri" w:hAnsi="Calibri"/>
          <w:sz w:val="23"/>
          <w:szCs w:val="23"/>
          <w:lang w:val="en-GB"/>
        </w:rPr>
        <w:t xml:space="preserve"> plant, utilitarian and </w:t>
      </w:r>
      <w:r w:rsidR="00A167E7" w:rsidRPr="00D961B9">
        <w:rPr>
          <w:rFonts w:ascii="Calibri" w:hAnsi="Calibri"/>
          <w:sz w:val="23"/>
          <w:szCs w:val="23"/>
          <w:lang w:val="en-GB"/>
        </w:rPr>
        <w:t>diversity</w:t>
      </w:r>
      <w:r w:rsidR="00C534AC" w:rsidRPr="00D961B9">
        <w:rPr>
          <w:rFonts w:ascii="Calibri" w:hAnsi="Calibri"/>
          <w:sz w:val="23"/>
          <w:szCs w:val="23"/>
          <w:lang w:val="en-GB"/>
        </w:rPr>
        <w:t xml:space="preserve"> (Figure </w:t>
      </w:r>
      <w:r w:rsidR="00771574" w:rsidRPr="00D961B9">
        <w:rPr>
          <w:rFonts w:ascii="Calibri" w:hAnsi="Calibri"/>
          <w:sz w:val="23"/>
          <w:szCs w:val="23"/>
          <w:lang w:val="en-GB"/>
        </w:rPr>
        <w:t>A.2</w:t>
      </w:r>
      <w:r w:rsidR="00436CB2" w:rsidRPr="00D961B9">
        <w:rPr>
          <w:rFonts w:ascii="Calibri" w:hAnsi="Calibri"/>
          <w:sz w:val="23"/>
          <w:szCs w:val="23"/>
          <w:lang w:val="en-GB"/>
        </w:rPr>
        <w:t>b</w:t>
      </w:r>
      <w:r w:rsidR="00C534AC" w:rsidRPr="00D961B9">
        <w:rPr>
          <w:rFonts w:ascii="Calibri" w:hAnsi="Calibri"/>
          <w:sz w:val="23"/>
          <w:szCs w:val="23"/>
          <w:lang w:val="en-GB"/>
        </w:rPr>
        <w:t xml:space="preserve">). </w:t>
      </w:r>
      <w:r w:rsidR="00F4327F" w:rsidRPr="00D961B9">
        <w:rPr>
          <w:rFonts w:ascii="Calibri" w:hAnsi="Calibri"/>
          <w:sz w:val="23"/>
          <w:szCs w:val="23"/>
          <w:lang w:val="en-GB"/>
        </w:rPr>
        <w:t xml:space="preserve">But this scenario has the assumption </w:t>
      </w:r>
      <w:r w:rsidR="00C534AC" w:rsidRPr="00D961B9">
        <w:rPr>
          <w:rFonts w:ascii="Calibri" w:hAnsi="Calibri"/>
          <w:sz w:val="23"/>
          <w:szCs w:val="23"/>
          <w:lang w:val="en-GB"/>
        </w:rPr>
        <w:t xml:space="preserve">that the offset project will be able to achieve zero deforestation (100% effectiveness </w:t>
      </w:r>
      <w:r w:rsidR="00F4327F" w:rsidRPr="00D961B9">
        <w:rPr>
          <w:rFonts w:ascii="Calibri" w:hAnsi="Calibri"/>
          <w:sz w:val="23"/>
          <w:szCs w:val="23"/>
          <w:lang w:val="en-GB"/>
        </w:rPr>
        <w:t>and that there is</w:t>
      </w:r>
      <w:r w:rsidR="00C534AC" w:rsidRPr="00D961B9">
        <w:rPr>
          <w:rFonts w:ascii="Calibri" w:hAnsi="Calibri"/>
          <w:sz w:val="23"/>
          <w:szCs w:val="23"/>
          <w:lang w:val="en-GB"/>
        </w:rPr>
        <w:t xml:space="preserve"> no leakage, including in mining site), and the conversion </w:t>
      </w:r>
      <w:r w:rsidR="00F4327F" w:rsidRPr="00D961B9">
        <w:rPr>
          <w:rFonts w:ascii="Calibri" w:hAnsi="Calibri"/>
          <w:sz w:val="23"/>
          <w:szCs w:val="23"/>
          <w:lang w:val="en-GB"/>
        </w:rPr>
        <w:t>ratio is</w:t>
      </w:r>
      <w:r w:rsidR="00C534AC" w:rsidRPr="00D961B9">
        <w:rPr>
          <w:rFonts w:ascii="Calibri" w:hAnsi="Calibri"/>
          <w:sz w:val="23"/>
          <w:szCs w:val="23"/>
          <w:lang w:val="en-GB"/>
        </w:rPr>
        <w:t xml:space="preserve"> 100%, that is, shifting agriculture has the same impact that mining per area or habitat hectare affected – values regarding these parameters </w:t>
      </w:r>
      <w:r w:rsidR="00F4327F" w:rsidRPr="00D961B9">
        <w:rPr>
          <w:rFonts w:ascii="Calibri" w:hAnsi="Calibri"/>
          <w:sz w:val="23"/>
          <w:szCs w:val="23"/>
          <w:lang w:val="en-GB"/>
        </w:rPr>
        <w:t>that</w:t>
      </w:r>
      <w:r w:rsidR="00C534AC" w:rsidRPr="00D961B9">
        <w:rPr>
          <w:rFonts w:ascii="Calibri" w:hAnsi="Calibri"/>
          <w:sz w:val="23"/>
          <w:szCs w:val="23"/>
          <w:lang w:val="en-GB"/>
        </w:rPr>
        <w:t xml:space="preserve"> are unlikely outcomes</w:t>
      </w:r>
      <w:r w:rsidR="00F4327F" w:rsidRPr="00D961B9">
        <w:rPr>
          <w:rFonts w:ascii="Calibri" w:hAnsi="Calibri"/>
          <w:sz w:val="23"/>
          <w:szCs w:val="23"/>
          <w:lang w:val="en-GB"/>
        </w:rPr>
        <w:t xml:space="preserve"> and risky</w:t>
      </w:r>
      <w:r w:rsidR="00C534AC" w:rsidRPr="00D961B9">
        <w:rPr>
          <w:rFonts w:ascii="Calibri" w:hAnsi="Calibri"/>
          <w:sz w:val="23"/>
          <w:szCs w:val="23"/>
          <w:lang w:val="en-GB"/>
        </w:rPr>
        <w:t xml:space="preserve">. </w:t>
      </w:r>
    </w:p>
    <w:p w14:paraId="36D60FDB" w14:textId="77777777" w:rsidR="00D87788" w:rsidRPr="00D961B9" w:rsidRDefault="00D87788" w:rsidP="00C534AC">
      <w:pPr>
        <w:shd w:val="clear" w:color="auto" w:fill="FFFFFF" w:themeFill="background1"/>
        <w:autoSpaceDE w:val="0"/>
        <w:autoSpaceDN w:val="0"/>
        <w:adjustRightInd w:val="0"/>
        <w:spacing w:after="0" w:line="288" w:lineRule="auto"/>
        <w:rPr>
          <w:rFonts w:ascii="Calibri" w:hAnsi="Calibri"/>
          <w:sz w:val="23"/>
          <w:szCs w:val="23"/>
          <w:lang w:val="en-GB"/>
        </w:rPr>
      </w:pPr>
    </w:p>
    <w:p w14:paraId="4D2B0752" w14:textId="2C548DB5" w:rsidR="00C534AC" w:rsidRPr="00D961B9" w:rsidRDefault="00D87788" w:rsidP="006048C8">
      <w:pPr>
        <w:rPr>
          <w:rFonts w:cs="Times New Roman"/>
          <w:sz w:val="20"/>
          <w:szCs w:val="20"/>
          <w:lang w:val="en-GB"/>
        </w:rPr>
      </w:pPr>
      <w:r w:rsidRPr="00D961B9">
        <w:rPr>
          <w:rFonts w:ascii="Calibri" w:hAnsi="Calibri"/>
          <w:sz w:val="23"/>
          <w:szCs w:val="23"/>
          <w:lang w:val="en-GB"/>
        </w:rPr>
        <w:t>In the Rio Tinto case, a</w:t>
      </w:r>
      <w:r w:rsidR="00C534AC" w:rsidRPr="00D961B9">
        <w:rPr>
          <w:rFonts w:ascii="Calibri" w:hAnsi="Calibri"/>
          <w:sz w:val="23"/>
          <w:szCs w:val="23"/>
          <w:lang w:val="en-GB"/>
        </w:rPr>
        <w:t xml:space="preserve"> more plausible scenario of 1% annual deforestation in the out-of-kind offset (based on Vielledent et al.</w:t>
      </w:r>
      <w:r w:rsidR="00436CB2" w:rsidRPr="00D961B9">
        <w:rPr>
          <w:rFonts w:ascii="Calibri" w:hAnsi="Calibri"/>
          <w:sz w:val="23"/>
          <w:szCs w:val="23"/>
          <w:lang w:val="en-GB"/>
        </w:rPr>
        <w:t>,</w:t>
      </w:r>
      <w:r w:rsidR="00C534AC" w:rsidRPr="00D961B9">
        <w:rPr>
          <w:rFonts w:ascii="Calibri" w:hAnsi="Calibri"/>
          <w:sz w:val="23"/>
          <w:szCs w:val="23"/>
          <w:lang w:val="en-GB"/>
        </w:rPr>
        <w:t xml:space="preserve"> 2013) and 0.3% annual deforestation on-sites pre-mining (based on Ingram </w:t>
      </w:r>
      <w:r w:rsidR="00436CB2" w:rsidRPr="00D961B9">
        <w:rPr>
          <w:rFonts w:ascii="Calibri" w:hAnsi="Calibri"/>
          <w:sz w:val="23"/>
          <w:szCs w:val="23"/>
          <w:lang w:val="en-GB"/>
        </w:rPr>
        <w:t>and</w:t>
      </w:r>
      <w:r w:rsidR="00C534AC" w:rsidRPr="00D961B9">
        <w:rPr>
          <w:rFonts w:ascii="Calibri" w:hAnsi="Calibri"/>
          <w:sz w:val="23"/>
          <w:szCs w:val="23"/>
          <w:lang w:val="en-GB"/>
        </w:rPr>
        <w:t xml:space="preserve"> Dawson</w:t>
      </w:r>
      <w:r w:rsidR="00436CB2" w:rsidRPr="00D961B9">
        <w:rPr>
          <w:rFonts w:ascii="Calibri" w:hAnsi="Calibri"/>
          <w:sz w:val="23"/>
          <w:szCs w:val="23"/>
          <w:lang w:val="en-GB"/>
        </w:rPr>
        <w:t>,</w:t>
      </w:r>
      <w:r w:rsidR="00C534AC" w:rsidRPr="00D961B9">
        <w:rPr>
          <w:rFonts w:ascii="Calibri" w:hAnsi="Calibri"/>
          <w:sz w:val="23"/>
          <w:szCs w:val="23"/>
          <w:lang w:val="en-GB"/>
        </w:rPr>
        <w:t xml:space="preserve"> 2006) should be used to estimate net changes.  In addition, estimate of effectiveness including leakage and conversion factor should be applied on specific biodiversity attribute such as plant diversity, utilitarian value, or bird diversity</w:t>
      </w:r>
      <w:r w:rsidRPr="00D961B9">
        <w:rPr>
          <w:rFonts w:ascii="Calibri" w:hAnsi="Calibri"/>
          <w:sz w:val="23"/>
          <w:szCs w:val="23"/>
          <w:lang w:val="en-GB"/>
        </w:rPr>
        <w:t xml:space="preserve">. Using, for example, a </w:t>
      </w:r>
      <w:r w:rsidR="00F4327F" w:rsidRPr="00D961B9">
        <w:rPr>
          <w:rFonts w:ascii="Calibri" w:hAnsi="Calibri"/>
          <w:sz w:val="23"/>
          <w:szCs w:val="23"/>
          <w:lang w:val="en-GB"/>
        </w:rPr>
        <w:t>very optimistic scenario, of 50</w:t>
      </w:r>
      <w:r w:rsidR="00C534AC" w:rsidRPr="00D961B9">
        <w:rPr>
          <w:rFonts w:ascii="Calibri" w:hAnsi="Calibri"/>
          <w:sz w:val="23"/>
          <w:szCs w:val="23"/>
          <w:lang w:val="en-GB"/>
        </w:rPr>
        <w:t xml:space="preserve">% </w:t>
      </w:r>
      <w:r w:rsidRPr="00D961B9">
        <w:rPr>
          <w:rFonts w:ascii="Calibri" w:hAnsi="Calibri"/>
          <w:sz w:val="23"/>
          <w:szCs w:val="23"/>
          <w:lang w:val="en-GB"/>
        </w:rPr>
        <w:t>effectiveness rate</w:t>
      </w:r>
      <w:r w:rsidR="00F4327F" w:rsidRPr="00D961B9">
        <w:rPr>
          <w:rFonts w:ascii="Calibri" w:hAnsi="Calibri"/>
          <w:sz w:val="23"/>
          <w:szCs w:val="23"/>
          <w:lang w:val="en-GB"/>
        </w:rPr>
        <w:t xml:space="preserve"> that would have included leakage at offset site, 0.3%  leakage at mining site</w:t>
      </w:r>
      <w:r w:rsidR="00C534AC" w:rsidRPr="00D961B9">
        <w:rPr>
          <w:rFonts w:ascii="Calibri" w:hAnsi="Calibri"/>
          <w:sz w:val="23"/>
          <w:szCs w:val="23"/>
          <w:lang w:val="en-GB"/>
        </w:rPr>
        <w:t xml:space="preserve">, and </w:t>
      </w:r>
      <w:r w:rsidRPr="00D961B9">
        <w:rPr>
          <w:rFonts w:ascii="Calibri" w:hAnsi="Calibri"/>
          <w:sz w:val="23"/>
          <w:szCs w:val="23"/>
          <w:lang w:val="en-GB"/>
        </w:rPr>
        <w:t xml:space="preserve">a </w:t>
      </w:r>
      <w:r w:rsidR="00F4327F" w:rsidRPr="00D961B9">
        <w:rPr>
          <w:rFonts w:ascii="Calibri" w:hAnsi="Calibri"/>
          <w:sz w:val="23"/>
          <w:szCs w:val="23"/>
          <w:lang w:val="en-GB"/>
        </w:rPr>
        <w:t>7</w:t>
      </w:r>
      <w:r w:rsidR="00C534AC" w:rsidRPr="00D961B9">
        <w:rPr>
          <w:rFonts w:ascii="Calibri" w:hAnsi="Calibri"/>
          <w:sz w:val="23"/>
          <w:szCs w:val="23"/>
          <w:lang w:val="en-GB"/>
        </w:rPr>
        <w:t>0% conversion factor</w:t>
      </w:r>
      <w:r w:rsidR="000D6C34" w:rsidRPr="00D961B9">
        <w:rPr>
          <w:rFonts w:ascii="Calibri" w:hAnsi="Calibri"/>
          <w:sz w:val="23"/>
          <w:szCs w:val="23"/>
          <w:lang w:val="en-GB"/>
        </w:rPr>
        <w:t xml:space="preserve"> on all biodiversity attributes</w:t>
      </w:r>
      <w:r w:rsidR="00F4327F" w:rsidRPr="00D961B9">
        <w:rPr>
          <w:rFonts w:ascii="Calibri" w:hAnsi="Calibri"/>
          <w:sz w:val="23"/>
          <w:szCs w:val="23"/>
          <w:lang w:val="en-GB"/>
        </w:rPr>
        <w:t xml:space="preserve"> (though</w:t>
      </w:r>
      <w:r w:rsidR="000D6C34" w:rsidRPr="00D961B9">
        <w:rPr>
          <w:rFonts w:ascii="Calibri" w:hAnsi="Calibri"/>
          <w:sz w:val="23"/>
          <w:szCs w:val="23"/>
          <w:lang w:val="en-GB"/>
        </w:rPr>
        <w:t xml:space="preserve"> we are fully aware that </w:t>
      </w:r>
      <w:r w:rsidR="00F4327F" w:rsidRPr="00D961B9">
        <w:rPr>
          <w:rFonts w:ascii="Calibri" w:hAnsi="Calibri"/>
          <w:sz w:val="23"/>
          <w:szCs w:val="23"/>
          <w:lang w:val="en-GB"/>
        </w:rPr>
        <w:t>these parameters</w:t>
      </w:r>
      <w:r w:rsidR="000D6C34" w:rsidRPr="00D961B9">
        <w:rPr>
          <w:rFonts w:ascii="Calibri" w:hAnsi="Calibri"/>
          <w:sz w:val="23"/>
          <w:szCs w:val="23"/>
          <w:lang w:val="en-GB"/>
        </w:rPr>
        <w:t xml:space="preserve"> may differ depending on </w:t>
      </w:r>
      <w:r w:rsidR="00436CB2" w:rsidRPr="00D961B9">
        <w:rPr>
          <w:rFonts w:ascii="Calibri" w:hAnsi="Calibri"/>
          <w:sz w:val="23"/>
          <w:szCs w:val="23"/>
          <w:lang w:val="en-GB"/>
        </w:rPr>
        <w:t xml:space="preserve">which </w:t>
      </w:r>
      <w:r w:rsidR="000D6C34" w:rsidRPr="00D961B9">
        <w:rPr>
          <w:rFonts w:ascii="Calibri" w:hAnsi="Calibri"/>
          <w:sz w:val="23"/>
          <w:szCs w:val="23"/>
          <w:lang w:val="en-GB"/>
        </w:rPr>
        <w:t xml:space="preserve">biodiversity </w:t>
      </w:r>
      <w:r w:rsidR="00436CB2" w:rsidRPr="00D961B9">
        <w:rPr>
          <w:rFonts w:ascii="Calibri" w:hAnsi="Calibri"/>
          <w:sz w:val="23"/>
          <w:szCs w:val="23"/>
          <w:lang w:val="en-GB"/>
        </w:rPr>
        <w:t>attribute is used</w:t>
      </w:r>
      <w:r w:rsidR="00F4327F" w:rsidRPr="00D961B9">
        <w:rPr>
          <w:rFonts w:ascii="Calibri" w:hAnsi="Calibri"/>
          <w:sz w:val="23"/>
          <w:szCs w:val="23"/>
          <w:lang w:val="en-GB"/>
        </w:rPr>
        <w:t>)</w:t>
      </w:r>
      <w:r w:rsidR="00C534AC" w:rsidRPr="00D961B9">
        <w:rPr>
          <w:rFonts w:ascii="Calibri" w:hAnsi="Calibri"/>
          <w:sz w:val="23"/>
          <w:szCs w:val="23"/>
          <w:lang w:val="en-GB"/>
        </w:rPr>
        <w:t>, our analysis indicates that there is net loss predicted</w:t>
      </w:r>
      <w:r w:rsidR="000D6C34" w:rsidRPr="00D961B9">
        <w:rPr>
          <w:rFonts w:ascii="Calibri" w:hAnsi="Calibri"/>
          <w:sz w:val="23"/>
          <w:szCs w:val="23"/>
          <w:lang w:val="en-GB"/>
        </w:rPr>
        <w:t xml:space="preserve"> in the next 60 years </w:t>
      </w:r>
      <w:r w:rsidR="00F4327F" w:rsidRPr="00D961B9">
        <w:rPr>
          <w:rFonts w:ascii="Calibri" w:hAnsi="Calibri"/>
          <w:sz w:val="23"/>
          <w:szCs w:val="23"/>
          <w:lang w:val="en-GB"/>
        </w:rPr>
        <w:t xml:space="preserve">when more direct biodiversity attributes, such as plant and bird diversity are used, rather than indirect indicators such as forest structure </w:t>
      </w:r>
      <w:r w:rsidR="000D6C34" w:rsidRPr="00D961B9">
        <w:rPr>
          <w:rFonts w:ascii="Calibri" w:hAnsi="Calibri"/>
          <w:sz w:val="23"/>
          <w:szCs w:val="23"/>
          <w:lang w:val="en-GB"/>
        </w:rPr>
        <w:t xml:space="preserve">(Figure </w:t>
      </w:r>
      <w:r w:rsidR="00436CB2" w:rsidRPr="00D961B9">
        <w:rPr>
          <w:rFonts w:ascii="Calibri" w:hAnsi="Calibri"/>
          <w:sz w:val="23"/>
          <w:szCs w:val="23"/>
          <w:lang w:val="en-GB"/>
        </w:rPr>
        <w:t>A.</w:t>
      </w:r>
      <w:r w:rsidR="00771574" w:rsidRPr="00D961B9">
        <w:rPr>
          <w:rFonts w:ascii="Calibri" w:hAnsi="Calibri"/>
          <w:sz w:val="23"/>
          <w:szCs w:val="23"/>
          <w:lang w:val="en-GB"/>
        </w:rPr>
        <w:t>2</w:t>
      </w:r>
      <w:r w:rsidR="00F4327F" w:rsidRPr="00D961B9">
        <w:rPr>
          <w:rFonts w:ascii="Calibri" w:hAnsi="Calibri"/>
          <w:sz w:val="23"/>
          <w:szCs w:val="23"/>
          <w:lang w:val="en-GB"/>
        </w:rPr>
        <w:t>c</w:t>
      </w:r>
      <w:r w:rsidR="00C534AC" w:rsidRPr="00D961B9">
        <w:rPr>
          <w:rFonts w:ascii="Calibri" w:hAnsi="Calibri"/>
          <w:sz w:val="23"/>
          <w:szCs w:val="23"/>
          <w:lang w:val="en-GB"/>
        </w:rPr>
        <w:t xml:space="preserve">). </w:t>
      </w:r>
      <w:r w:rsidR="00F4327F" w:rsidRPr="00D961B9">
        <w:rPr>
          <w:rFonts w:ascii="Calibri" w:hAnsi="Calibri"/>
          <w:sz w:val="23"/>
          <w:szCs w:val="23"/>
          <w:lang w:val="en-GB"/>
        </w:rPr>
        <w:t>Thus, net-loss is achieved</w:t>
      </w:r>
      <w:r w:rsidR="00C534AC" w:rsidRPr="00D961B9">
        <w:rPr>
          <w:rFonts w:ascii="Calibri" w:hAnsi="Calibri"/>
          <w:sz w:val="23"/>
          <w:szCs w:val="23"/>
          <w:lang w:val="en-GB"/>
        </w:rPr>
        <w:t xml:space="preserve"> in spite of what can be seen as a “generous” offset area of about 6</w:t>
      </w:r>
      <w:r w:rsidR="00F4327F" w:rsidRPr="00D961B9">
        <w:rPr>
          <w:rFonts w:ascii="Calibri" w:hAnsi="Calibri"/>
          <w:sz w:val="23"/>
          <w:szCs w:val="23"/>
          <w:lang w:val="en-GB"/>
        </w:rPr>
        <w:t>687</w:t>
      </w:r>
      <w:r w:rsidR="00C534AC" w:rsidRPr="00D961B9">
        <w:rPr>
          <w:rFonts w:ascii="Calibri" w:hAnsi="Calibri"/>
          <w:sz w:val="23"/>
          <w:szCs w:val="23"/>
          <w:lang w:val="en-GB"/>
        </w:rPr>
        <w:t xml:space="preserve"> forest hectare</w:t>
      </w:r>
      <w:r w:rsidR="00DC6133" w:rsidRPr="00D961B9">
        <w:rPr>
          <w:rFonts w:ascii="Calibri" w:hAnsi="Calibri"/>
          <w:sz w:val="23"/>
          <w:szCs w:val="23"/>
          <w:lang w:val="en-GB"/>
        </w:rPr>
        <w:t>s</w:t>
      </w:r>
      <w:r w:rsidR="00C534AC" w:rsidRPr="00D961B9">
        <w:rPr>
          <w:rFonts w:ascii="Calibri" w:hAnsi="Calibri"/>
          <w:sz w:val="23"/>
          <w:szCs w:val="23"/>
          <w:lang w:val="en-GB"/>
        </w:rPr>
        <w:t xml:space="preserve"> to 1</w:t>
      </w:r>
      <w:r w:rsidR="00F4327F" w:rsidRPr="00D961B9">
        <w:rPr>
          <w:rFonts w:ascii="Calibri" w:hAnsi="Calibri"/>
          <w:sz w:val="23"/>
          <w:szCs w:val="23"/>
          <w:lang w:val="en-GB"/>
        </w:rPr>
        <w:t>665</w:t>
      </w:r>
      <w:r w:rsidR="00C534AC" w:rsidRPr="00D961B9">
        <w:rPr>
          <w:rFonts w:ascii="Calibri" w:hAnsi="Calibri"/>
          <w:sz w:val="23"/>
          <w:szCs w:val="23"/>
          <w:lang w:val="en-GB"/>
        </w:rPr>
        <w:t xml:space="preserve"> forest hectare</w:t>
      </w:r>
      <w:r w:rsidR="00DC6133" w:rsidRPr="00D961B9">
        <w:rPr>
          <w:rFonts w:ascii="Calibri" w:hAnsi="Calibri"/>
          <w:sz w:val="23"/>
          <w:szCs w:val="23"/>
          <w:lang w:val="en-GB"/>
        </w:rPr>
        <w:t>s</w:t>
      </w:r>
      <w:r w:rsidR="00C534AC" w:rsidRPr="00D961B9">
        <w:rPr>
          <w:rFonts w:ascii="Calibri" w:hAnsi="Calibri"/>
          <w:sz w:val="23"/>
          <w:szCs w:val="23"/>
          <w:lang w:val="en-GB"/>
        </w:rPr>
        <w:t xml:space="preserve"> impacted (ratio of 3: 1</w:t>
      </w:r>
      <w:r w:rsidR="006048C8" w:rsidRPr="00D961B9">
        <w:rPr>
          <w:rFonts w:ascii="Calibri" w:hAnsi="Calibri"/>
          <w:sz w:val="23"/>
          <w:szCs w:val="23"/>
          <w:lang w:val="en-GB"/>
        </w:rPr>
        <w:t xml:space="preserve">, also known as </w:t>
      </w:r>
      <w:r w:rsidR="00DC6133" w:rsidRPr="00D961B9">
        <w:rPr>
          <w:rFonts w:ascii="Calibri" w:hAnsi="Calibri"/>
          <w:sz w:val="23"/>
          <w:szCs w:val="23"/>
          <w:lang w:val="en-GB"/>
        </w:rPr>
        <w:t xml:space="preserve">a </w:t>
      </w:r>
      <w:r w:rsidR="006048C8" w:rsidRPr="00D961B9">
        <w:rPr>
          <w:rFonts w:ascii="Calibri" w:hAnsi="Calibri"/>
          <w:sz w:val="23"/>
          <w:szCs w:val="23"/>
          <w:lang w:val="en-GB"/>
        </w:rPr>
        <w:t>multiplier</w:t>
      </w:r>
      <w:r w:rsidR="00C534AC" w:rsidRPr="00D961B9">
        <w:rPr>
          <w:rFonts w:ascii="Calibri" w:hAnsi="Calibri"/>
          <w:sz w:val="23"/>
          <w:szCs w:val="23"/>
          <w:lang w:val="en-GB"/>
        </w:rPr>
        <w:t xml:space="preserve">).  </w:t>
      </w:r>
      <w:r w:rsidR="00F4327F" w:rsidRPr="00D961B9">
        <w:rPr>
          <w:rFonts w:ascii="Calibri" w:hAnsi="Calibri"/>
          <w:sz w:val="23"/>
          <w:szCs w:val="23"/>
          <w:lang w:val="en-GB"/>
        </w:rPr>
        <w:t>Here, we</w:t>
      </w:r>
      <w:r w:rsidR="006048C8" w:rsidRPr="00D961B9">
        <w:rPr>
          <w:rFonts w:ascii="Calibri" w:hAnsi="Calibri"/>
          <w:sz w:val="23"/>
          <w:szCs w:val="23"/>
          <w:lang w:val="en-GB"/>
        </w:rPr>
        <w:t xml:space="preserve"> caution against using land-based multipliers as an indicator of predicted no-net-loss because such multipliers do not implicitly </w:t>
      </w:r>
      <w:r w:rsidR="00DC6133" w:rsidRPr="00D961B9">
        <w:rPr>
          <w:rFonts w:ascii="Calibri" w:hAnsi="Calibri"/>
          <w:sz w:val="23"/>
          <w:szCs w:val="23"/>
          <w:lang w:val="en-GB"/>
        </w:rPr>
        <w:t>indicate</w:t>
      </w:r>
      <w:r w:rsidR="006048C8" w:rsidRPr="00D961B9">
        <w:rPr>
          <w:rFonts w:ascii="Calibri" w:hAnsi="Calibri"/>
          <w:sz w:val="23"/>
          <w:szCs w:val="23"/>
          <w:lang w:val="en-GB"/>
        </w:rPr>
        <w:t xml:space="preserve"> anything about net changes in biodiversity attributes as a result of </w:t>
      </w:r>
      <w:r w:rsidR="00436CB2" w:rsidRPr="00D961B9">
        <w:rPr>
          <w:rFonts w:ascii="Calibri" w:hAnsi="Calibri"/>
          <w:sz w:val="23"/>
          <w:szCs w:val="23"/>
          <w:lang w:val="en-GB"/>
        </w:rPr>
        <w:t>mining and offset</w:t>
      </w:r>
      <w:r w:rsidR="00F4327F" w:rsidRPr="00D961B9">
        <w:rPr>
          <w:rFonts w:ascii="Calibri" w:hAnsi="Calibri"/>
          <w:sz w:val="23"/>
          <w:szCs w:val="23"/>
          <w:lang w:val="en-GB"/>
        </w:rPr>
        <w:t xml:space="preserve"> </w:t>
      </w:r>
      <w:r w:rsidR="006048C8" w:rsidRPr="00D961B9">
        <w:rPr>
          <w:rFonts w:ascii="Calibri" w:hAnsi="Calibri"/>
          <w:sz w:val="23"/>
          <w:szCs w:val="23"/>
          <w:lang w:val="en-GB"/>
        </w:rPr>
        <w:t>activities.</w:t>
      </w:r>
      <w:r w:rsidR="006048C8" w:rsidRPr="00D961B9">
        <w:rPr>
          <w:rFonts w:cs="Times New Roman"/>
          <w:sz w:val="20"/>
          <w:szCs w:val="20"/>
          <w:lang w:val="en-GB"/>
        </w:rPr>
        <w:t xml:space="preserve">  </w:t>
      </w:r>
    </w:p>
    <w:p w14:paraId="06C4A890" w14:textId="42CD239C" w:rsidR="00D87788" w:rsidRPr="00D961B9" w:rsidRDefault="00C534AC" w:rsidP="00C534AC">
      <w:pPr>
        <w:shd w:val="clear" w:color="auto" w:fill="FFFFFF" w:themeFill="background1"/>
        <w:autoSpaceDE w:val="0"/>
        <w:autoSpaceDN w:val="0"/>
        <w:adjustRightInd w:val="0"/>
        <w:spacing w:line="288" w:lineRule="auto"/>
        <w:rPr>
          <w:rFonts w:ascii="Calibri" w:hAnsi="Calibri"/>
          <w:sz w:val="23"/>
          <w:szCs w:val="23"/>
          <w:lang w:val="en-GB"/>
        </w:rPr>
      </w:pPr>
      <w:r w:rsidRPr="00D961B9">
        <w:rPr>
          <w:rFonts w:ascii="Calibri" w:hAnsi="Calibri"/>
          <w:sz w:val="23"/>
          <w:szCs w:val="23"/>
          <w:lang w:val="en-GB"/>
        </w:rPr>
        <w:t>Furthermore,</w:t>
      </w:r>
      <w:r w:rsidR="006048C8" w:rsidRPr="00D961B9">
        <w:rPr>
          <w:rFonts w:ascii="Calibri" w:hAnsi="Calibri"/>
          <w:sz w:val="23"/>
          <w:szCs w:val="23"/>
          <w:lang w:val="en-GB"/>
        </w:rPr>
        <w:t xml:space="preserve"> in the case we have analysed,</w:t>
      </w:r>
      <w:r w:rsidRPr="00D961B9">
        <w:rPr>
          <w:rFonts w:ascii="Calibri" w:hAnsi="Calibri"/>
          <w:sz w:val="23"/>
          <w:szCs w:val="23"/>
          <w:lang w:val="en-GB"/>
        </w:rPr>
        <w:t xml:space="preserve"> if a conservation significance index is applied, it appears that it will not be possible for Rio Tinto-QMM to offset its impact </w:t>
      </w:r>
      <w:r w:rsidR="00DC6133" w:rsidRPr="00D961B9">
        <w:rPr>
          <w:rFonts w:ascii="Calibri" w:hAnsi="Calibri"/>
          <w:sz w:val="23"/>
          <w:szCs w:val="23"/>
          <w:lang w:val="en-GB"/>
        </w:rPr>
        <w:t xml:space="preserve">on </w:t>
      </w:r>
      <w:r w:rsidRPr="00D961B9">
        <w:rPr>
          <w:rFonts w:ascii="Calibri" w:hAnsi="Calibri"/>
          <w:sz w:val="23"/>
          <w:szCs w:val="23"/>
          <w:lang w:val="en-GB"/>
        </w:rPr>
        <w:t>a high</w:t>
      </w:r>
      <w:r w:rsidR="000D6C34" w:rsidRPr="00D961B9">
        <w:rPr>
          <w:rFonts w:ascii="Calibri" w:hAnsi="Calibri"/>
          <w:sz w:val="23"/>
          <w:szCs w:val="23"/>
          <w:lang w:val="en-GB"/>
        </w:rPr>
        <w:t xml:space="preserve">ly endangered habitat (Figure </w:t>
      </w:r>
      <w:r w:rsidR="00436CB2" w:rsidRPr="00D961B9">
        <w:rPr>
          <w:rFonts w:ascii="Calibri" w:hAnsi="Calibri"/>
          <w:sz w:val="23"/>
          <w:szCs w:val="23"/>
          <w:lang w:val="en-GB"/>
        </w:rPr>
        <w:t>A.</w:t>
      </w:r>
      <w:r w:rsidR="00771574" w:rsidRPr="00D961B9">
        <w:rPr>
          <w:rFonts w:ascii="Calibri" w:hAnsi="Calibri"/>
          <w:sz w:val="23"/>
          <w:szCs w:val="23"/>
          <w:lang w:val="en-GB"/>
        </w:rPr>
        <w:t>2</w:t>
      </w:r>
      <w:r w:rsidR="00481379" w:rsidRPr="00D961B9">
        <w:rPr>
          <w:rFonts w:ascii="Calibri" w:hAnsi="Calibri"/>
          <w:sz w:val="23"/>
          <w:szCs w:val="23"/>
          <w:lang w:val="en-GB"/>
        </w:rPr>
        <w:t>d</w:t>
      </w:r>
      <w:r w:rsidRPr="00D961B9">
        <w:rPr>
          <w:rFonts w:ascii="Calibri" w:hAnsi="Calibri"/>
          <w:sz w:val="23"/>
          <w:szCs w:val="23"/>
          <w:lang w:val="en-GB"/>
        </w:rPr>
        <w:t xml:space="preserve">). This is because none of the out-of-kind offsets </w:t>
      </w:r>
      <w:r w:rsidR="00F4327F" w:rsidRPr="00D961B9">
        <w:rPr>
          <w:rFonts w:ascii="Calibri" w:hAnsi="Calibri"/>
          <w:sz w:val="23"/>
          <w:szCs w:val="23"/>
          <w:lang w:val="en-GB"/>
        </w:rPr>
        <w:t>have</w:t>
      </w:r>
      <w:r w:rsidRPr="00D961B9">
        <w:rPr>
          <w:rFonts w:ascii="Calibri" w:hAnsi="Calibri"/>
          <w:sz w:val="23"/>
          <w:szCs w:val="23"/>
          <w:lang w:val="en-GB"/>
        </w:rPr>
        <w:t xml:space="preserve"> as </w:t>
      </w:r>
      <w:r w:rsidR="00F4327F" w:rsidRPr="00D961B9">
        <w:rPr>
          <w:rFonts w:ascii="Calibri" w:hAnsi="Calibri"/>
          <w:sz w:val="23"/>
          <w:szCs w:val="23"/>
          <w:lang w:val="en-GB"/>
        </w:rPr>
        <w:t>high conservation significance</w:t>
      </w:r>
      <w:r w:rsidRPr="00D961B9">
        <w:rPr>
          <w:rFonts w:ascii="Calibri" w:hAnsi="Calibri"/>
          <w:sz w:val="23"/>
          <w:szCs w:val="23"/>
          <w:lang w:val="en-GB"/>
        </w:rPr>
        <w:t xml:space="preserve"> as the littoral forest</w:t>
      </w:r>
      <w:r w:rsidR="00DC6133" w:rsidRPr="00D961B9">
        <w:rPr>
          <w:rFonts w:ascii="Calibri" w:hAnsi="Calibri"/>
          <w:sz w:val="23"/>
          <w:szCs w:val="23"/>
          <w:lang w:val="en-GB"/>
        </w:rPr>
        <w:t xml:space="preserve"> mined</w:t>
      </w:r>
      <w:r w:rsidRPr="00D961B9">
        <w:rPr>
          <w:rFonts w:ascii="Calibri" w:hAnsi="Calibri"/>
          <w:sz w:val="23"/>
          <w:szCs w:val="23"/>
          <w:lang w:val="en-GB"/>
        </w:rPr>
        <w:t xml:space="preserve">. We strongly encourage Rio Tinto-QMM </w:t>
      </w:r>
      <w:r w:rsidR="00D87788" w:rsidRPr="00D961B9">
        <w:rPr>
          <w:rFonts w:ascii="Calibri" w:hAnsi="Calibri"/>
          <w:sz w:val="23"/>
          <w:szCs w:val="23"/>
          <w:lang w:val="en-GB"/>
        </w:rPr>
        <w:t xml:space="preserve">and other </w:t>
      </w:r>
      <w:r w:rsidR="00DC6133" w:rsidRPr="00D961B9">
        <w:rPr>
          <w:rFonts w:ascii="Calibri" w:hAnsi="Calibri"/>
          <w:sz w:val="23"/>
          <w:szCs w:val="23"/>
          <w:lang w:val="en-GB"/>
        </w:rPr>
        <w:t xml:space="preserve">implementers of </w:t>
      </w:r>
      <w:r w:rsidR="00D87788" w:rsidRPr="00D961B9">
        <w:rPr>
          <w:rFonts w:ascii="Calibri" w:hAnsi="Calibri"/>
          <w:sz w:val="23"/>
          <w:szCs w:val="23"/>
          <w:lang w:val="en-GB"/>
        </w:rPr>
        <w:t xml:space="preserve">biodiversity offset initiatives </w:t>
      </w:r>
      <w:r w:rsidRPr="00D961B9">
        <w:rPr>
          <w:rFonts w:ascii="Calibri" w:hAnsi="Calibri"/>
          <w:sz w:val="23"/>
          <w:szCs w:val="23"/>
          <w:lang w:val="en-GB"/>
        </w:rPr>
        <w:t xml:space="preserve">to re-evaluate their offset methodology/ approach </w:t>
      </w:r>
      <w:r w:rsidR="00D87788" w:rsidRPr="00D961B9">
        <w:rPr>
          <w:rFonts w:ascii="Calibri" w:hAnsi="Calibri"/>
          <w:sz w:val="23"/>
          <w:szCs w:val="23"/>
          <w:lang w:val="en-GB"/>
        </w:rPr>
        <w:t>transparently describing parameters used in</w:t>
      </w:r>
      <w:r w:rsidRPr="00D961B9">
        <w:rPr>
          <w:rFonts w:ascii="Calibri" w:hAnsi="Calibri"/>
          <w:sz w:val="23"/>
          <w:szCs w:val="23"/>
          <w:lang w:val="en-GB"/>
        </w:rPr>
        <w:t xml:space="preserve"> formula 2</w:t>
      </w:r>
      <w:r w:rsidR="00D87788" w:rsidRPr="00D961B9">
        <w:rPr>
          <w:rFonts w:ascii="Calibri" w:hAnsi="Calibri"/>
          <w:sz w:val="23"/>
          <w:szCs w:val="23"/>
          <w:lang w:val="en-GB"/>
        </w:rPr>
        <w:t xml:space="preserve">. </w:t>
      </w:r>
    </w:p>
    <w:p w14:paraId="418352A3" w14:textId="682EBB05" w:rsidR="00F8421C" w:rsidRPr="00D961B9" w:rsidRDefault="00D87788" w:rsidP="00C534AC">
      <w:pPr>
        <w:shd w:val="clear" w:color="auto" w:fill="FFFFFF" w:themeFill="background1"/>
        <w:autoSpaceDE w:val="0"/>
        <w:autoSpaceDN w:val="0"/>
        <w:adjustRightInd w:val="0"/>
        <w:spacing w:line="288" w:lineRule="auto"/>
        <w:rPr>
          <w:rFonts w:ascii="Calibri" w:eastAsiaTheme="minorEastAsia" w:hAnsi="Calibri"/>
          <w:sz w:val="23"/>
          <w:szCs w:val="23"/>
          <w:lang w:val="en-GB"/>
        </w:rPr>
      </w:pPr>
      <w:r w:rsidRPr="00D961B9">
        <w:rPr>
          <w:rFonts w:ascii="Calibri" w:hAnsi="Calibri"/>
          <w:sz w:val="23"/>
          <w:szCs w:val="23"/>
          <w:lang w:val="en-GB"/>
        </w:rPr>
        <w:t>E</w:t>
      </w:r>
      <w:r w:rsidR="00C534AC" w:rsidRPr="00D961B9">
        <w:rPr>
          <w:rFonts w:ascii="Calibri" w:hAnsi="Calibri"/>
          <w:sz w:val="23"/>
          <w:szCs w:val="23"/>
          <w:lang w:val="en-GB"/>
        </w:rPr>
        <w:t xml:space="preserve">nsuring </w:t>
      </w:r>
      <w:r w:rsidRPr="00D961B9">
        <w:rPr>
          <w:rFonts w:ascii="Calibri" w:hAnsi="Calibri"/>
          <w:sz w:val="23"/>
          <w:szCs w:val="23"/>
          <w:lang w:val="en-GB"/>
        </w:rPr>
        <w:t>that</w:t>
      </w:r>
      <w:r w:rsidR="00C534AC" w:rsidRPr="00D961B9">
        <w:rPr>
          <w:rFonts w:ascii="Calibri" w:hAnsi="Calibri"/>
          <w:sz w:val="23"/>
          <w:szCs w:val="23"/>
          <w:lang w:val="en-GB"/>
        </w:rPr>
        <w:t xml:space="preserve"> permanence risks are </w:t>
      </w:r>
      <w:r w:rsidRPr="00D961B9">
        <w:rPr>
          <w:rFonts w:ascii="Calibri" w:hAnsi="Calibri"/>
          <w:sz w:val="23"/>
          <w:szCs w:val="23"/>
          <w:lang w:val="en-GB"/>
        </w:rPr>
        <w:t>taken into account</w:t>
      </w:r>
      <w:r w:rsidR="00C534AC" w:rsidRPr="00D961B9">
        <w:rPr>
          <w:rFonts w:ascii="Calibri" w:hAnsi="Calibri"/>
          <w:sz w:val="23"/>
          <w:szCs w:val="23"/>
          <w:lang w:val="en-GB"/>
        </w:rPr>
        <w:t xml:space="preserve"> for the remaining littoral forest</w:t>
      </w:r>
      <w:r w:rsidR="00DC6133" w:rsidRPr="00D961B9">
        <w:rPr>
          <w:rFonts w:ascii="Calibri" w:hAnsi="Calibri"/>
          <w:sz w:val="23"/>
          <w:szCs w:val="23"/>
          <w:lang w:val="en-GB"/>
        </w:rPr>
        <w:t xml:space="preserve"> in Madagascar</w:t>
      </w:r>
      <w:r w:rsidR="00C534AC" w:rsidRPr="00D961B9">
        <w:rPr>
          <w:rFonts w:ascii="Calibri" w:hAnsi="Calibri"/>
          <w:sz w:val="23"/>
          <w:szCs w:val="23"/>
          <w:lang w:val="en-GB"/>
        </w:rPr>
        <w:t xml:space="preserve"> </w:t>
      </w:r>
      <w:r w:rsidR="00436CB2" w:rsidRPr="00D961B9">
        <w:rPr>
          <w:rFonts w:ascii="Calibri" w:hAnsi="Calibri"/>
          <w:sz w:val="23"/>
          <w:szCs w:val="23"/>
          <w:lang w:val="en-GB"/>
        </w:rPr>
        <w:t xml:space="preserve">is </w:t>
      </w:r>
      <w:r w:rsidR="008F06FB" w:rsidRPr="00D961B9">
        <w:rPr>
          <w:rFonts w:ascii="Calibri" w:hAnsi="Calibri"/>
          <w:sz w:val="23"/>
          <w:szCs w:val="23"/>
          <w:lang w:val="en-GB"/>
        </w:rPr>
        <w:t>also</w:t>
      </w:r>
      <w:r w:rsidR="00436CB2" w:rsidRPr="00D961B9">
        <w:rPr>
          <w:rFonts w:ascii="Calibri" w:hAnsi="Calibri"/>
          <w:sz w:val="23"/>
          <w:szCs w:val="23"/>
          <w:lang w:val="en-GB"/>
        </w:rPr>
        <w:t xml:space="preserve"> critical. This factor </w:t>
      </w:r>
      <w:r w:rsidRPr="00D961B9">
        <w:rPr>
          <w:rFonts w:ascii="Calibri" w:hAnsi="Calibri"/>
          <w:sz w:val="23"/>
          <w:szCs w:val="23"/>
          <w:lang w:val="en-GB"/>
        </w:rPr>
        <w:t xml:space="preserve">cannot however </w:t>
      </w:r>
      <w:r w:rsidR="00F4327F" w:rsidRPr="00D961B9">
        <w:rPr>
          <w:rFonts w:ascii="Calibri" w:hAnsi="Calibri"/>
          <w:sz w:val="23"/>
          <w:szCs w:val="23"/>
          <w:lang w:val="en-GB"/>
        </w:rPr>
        <w:t xml:space="preserve">often </w:t>
      </w:r>
      <w:r w:rsidRPr="00D961B9">
        <w:rPr>
          <w:rFonts w:ascii="Calibri" w:hAnsi="Calibri"/>
          <w:sz w:val="23"/>
          <w:szCs w:val="23"/>
          <w:lang w:val="en-GB"/>
        </w:rPr>
        <w:t xml:space="preserve">be </w:t>
      </w:r>
      <w:r w:rsidR="00DC6133" w:rsidRPr="00D961B9">
        <w:rPr>
          <w:rFonts w:ascii="Calibri" w:hAnsi="Calibri"/>
          <w:sz w:val="23"/>
          <w:szCs w:val="23"/>
          <w:lang w:val="en-GB"/>
        </w:rPr>
        <w:t>“</w:t>
      </w:r>
      <w:r w:rsidRPr="00D961B9">
        <w:rPr>
          <w:rFonts w:ascii="Calibri" w:hAnsi="Calibri"/>
          <w:sz w:val="23"/>
          <w:szCs w:val="23"/>
          <w:lang w:val="en-GB"/>
        </w:rPr>
        <w:t>measured</w:t>
      </w:r>
      <w:r w:rsidR="00DC6133" w:rsidRPr="00D961B9">
        <w:rPr>
          <w:rFonts w:ascii="Calibri" w:hAnsi="Calibri"/>
          <w:sz w:val="23"/>
          <w:szCs w:val="23"/>
          <w:lang w:val="en-GB"/>
        </w:rPr>
        <w:t>”</w:t>
      </w:r>
      <w:r w:rsidRPr="00D961B9">
        <w:rPr>
          <w:rFonts w:ascii="Calibri" w:hAnsi="Calibri"/>
          <w:sz w:val="23"/>
          <w:szCs w:val="23"/>
          <w:lang w:val="en-GB"/>
        </w:rPr>
        <w:t xml:space="preserve"> </w:t>
      </w:r>
      <w:r w:rsidR="00436CB2" w:rsidRPr="00D961B9">
        <w:rPr>
          <w:rFonts w:ascii="Calibri" w:hAnsi="Calibri"/>
          <w:sz w:val="23"/>
          <w:szCs w:val="23"/>
          <w:lang w:val="en-GB"/>
        </w:rPr>
        <w:t>but could be demonstrated by, for example,</w:t>
      </w:r>
      <w:r w:rsidR="00C534AC" w:rsidRPr="00D961B9">
        <w:rPr>
          <w:rFonts w:ascii="Calibri" w:hAnsi="Calibri"/>
          <w:sz w:val="23"/>
          <w:szCs w:val="23"/>
          <w:lang w:val="en-GB"/>
        </w:rPr>
        <w:t xml:space="preserve"> setting up a foundation to ensure local communities </w:t>
      </w:r>
      <w:r w:rsidR="00F4327F" w:rsidRPr="00D961B9">
        <w:rPr>
          <w:rFonts w:ascii="Calibri" w:hAnsi="Calibri"/>
          <w:sz w:val="23"/>
          <w:szCs w:val="23"/>
          <w:lang w:val="en-GB"/>
        </w:rPr>
        <w:t>can manage legally protected areas, for perpetuity</w:t>
      </w:r>
      <w:r w:rsidR="00C534AC" w:rsidRPr="00D961B9">
        <w:rPr>
          <w:rFonts w:ascii="Calibri" w:hAnsi="Calibri"/>
          <w:sz w:val="23"/>
          <w:szCs w:val="23"/>
          <w:lang w:val="en-GB"/>
        </w:rPr>
        <w:t xml:space="preserve">. A larger out-of-kind offset may also be necessary to create overall net gain if </w:t>
      </w:r>
      <w:r w:rsidR="00A31F60" w:rsidRPr="00D961B9">
        <w:rPr>
          <w:rFonts w:ascii="Calibri" w:hAnsi="Calibri"/>
          <w:sz w:val="23"/>
          <w:szCs w:val="23"/>
          <w:lang w:val="en-GB"/>
        </w:rPr>
        <w:t>it is</w:t>
      </w:r>
      <w:r w:rsidR="00C534AC" w:rsidRPr="00D961B9">
        <w:rPr>
          <w:rFonts w:ascii="Calibri" w:hAnsi="Calibri"/>
          <w:sz w:val="23"/>
          <w:szCs w:val="23"/>
          <w:lang w:val="en-GB"/>
        </w:rPr>
        <w:t xml:space="preserve"> accept</w:t>
      </w:r>
      <w:r w:rsidR="00A31F60" w:rsidRPr="00D961B9">
        <w:rPr>
          <w:rFonts w:ascii="Calibri" w:hAnsi="Calibri"/>
          <w:sz w:val="23"/>
          <w:szCs w:val="23"/>
          <w:lang w:val="en-GB"/>
        </w:rPr>
        <w:t>ed</w:t>
      </w:r>
      <w:r w:rsidR="00C534AC" w:rsidRPr="00D961B9">
        <w:rPr>
          <w:rFonts w:ascii="Calibri" w:hAnsi="Calibri"/>
          <w:sz w:val="23"/>
          <w:szCs w:val="23"/>
          <w:lang w:val="en-GB"/>
        </w:rPr>
        <w:t xml:space="preserve"> that that biodiversity is exchangeable. </w:t>
      </w:r>
    </w:p>
    <w:p w14:paraId="66060523" w14:textId="77777777" w:rsidR="008A73F9" w:rsidRPr="00D961B9" w:rsidRDefault="00BC7D16" w:rsidP="008A73F9">
      <w:pPr>
        <w:autoSpaceDE w:val="0"/>
        <w:autoSpaceDN w:val="0"/>
        <w:adjustRightInd w:val="0"/>
        <w:spacing w:after="0" w:line="288" w:lineRule="auto"/>
        <w:rPr>
          <w:rFonts w:ascii="Calibri" w:hAnsi="Calibri"/>
          <w:b/>
          <w:sz w:val="24"/>
          <w:szCs w:val="24"/>
          <w:lang w:val="en-AU"/>
        </w:rPr>
      </w:pPr>
      <w:r w:rsidRPr="00D961B9">
        <w:rPr>
          <w:rFonts w:ascii="Calibri" w:hAnsi="Calibri"/>
          <w:b/>
          <w:sz w:val="24"/>
          <w:szCs w:val="24"/>
          <w:lang w:val="en-AU"/>
        </w:rPr>
        <w:lastRenderedPageBreak/>
        <w:t>8</w:t>
      </w:r>
      <w:r w:rsidR="00E41AAD" w:rsidRPr="00D961B9">
        <w:rPr>
          <w:rFonts w:ascii="Calibri" w:hAnsi="Calibri"/>
          <w:b/>
          <w:sz w:val="24"/>
          <w:szCs w:val="24"/>
          <w:lang w:val="en-AU"/>
        </w:rPr>
        <w:t xml:space="preserve"> </w:t>
      </w:r>
      <w:r w:rsidR="00F4327F" w:rsidRPr="00D961B9">
        <w:rPr>
          <w:rFonts w:ascii="Calibri" w:hAnsi="Calibri"/>
          <w:b/>
          <w:sz w:val="24"/>
          <w:szCs w:val="24"/>
          <w:lang w:val="en-AU"/>
        </w:rPr>
        <w:t>Conclusion</w:t>
      </w:r>
      <w:r w:rsidR="00E41AAD" w:rsidRPr="00D961B9">
        <w:rPr>
          <w:rFonts w:ascii="Calibri" w:hAnsi="Calibri"/>
          <w:b/>
          <w:sz w:val="24"/>
          <w:szCs w:val="24"/>
          <w:lang w:val="en-AU"/>
        </w:rPr>
        <w:t>s</w:t>
      </w:r>
    </w:p>
    <w:p w14:paraId="10000C53" w14:textId="63C9A9EC" w:rsidR="008A73F9" w:rsidRPr="00D961B9" w:rsidRDefault="00F4327F" w:rsidP="008A73F9">
      <w:pPr>
        <w:autoSpaceDE w:val="0"/>
        <w:autoSpaceDN w:val="0"/>
        <w:adjustRightInd w:val="0"/>
        <w:spacing w:after="0" w:line="288" w:lineRule="auto"/>
        <w:rPr>
          <w:rFonts w:ascii="Calibri" w:hAnsi="Calibri"/>
          <w:sz w:val="24"/>
          <w:szCs w:val="24"/>
          <w:lang w:val="en-GB"/>
        </w:rPr>
      </w:pPr>
      <w:r w:rsidRPr="00D961B9">
        <w:rPr>
          <w:rFonts w:ascii="Calibri" w:hAnsi="Calibri"/>
          <w:sz w:val="24"/>
          <w:szCs w:val="24"/>
          <w:lang w:val="en-AU"/>
        </w:rPr>
        <w:t xml:space="preserve">Given the </w:t>
      </w:r>
      <w:r w:rsidRPr="00D961B9">
        <w:rPr>
          <w:sz w:val="24"/>
          <w:szCs w:val="24"/>
          <w:lang w:val="en-AU"/>
        </w:rPr>
        <w:t xml:space="preserve">magnitude of global growth in demand for mineral resources and </w:t>
      </w:r>
      <w:r w:rsidR="00A31F60" w:rsidRPr="00D961B9">
        <w:rPr>
          <w:sz w:val="24"/>
          <w:szCs w:val="24"/>
          <w:lang w:val="en-AU"/>
        </w:rPr>
        <w:t xml:space="preserve">plans for </w:t>
      </w:r>
      <w:r w:rsidRPr="00D961B9">
        <w:rPr>
          <w:sz w:val="24"/>
          <w:szCs w:val="24"/>
          <w:lang w:val="en-AU"/>
        </w:rPr>
        <w:t xml:space="preserve">large-scale </w:t>
      </w:r>
      <w:r w:rsidR="00A31F60" w:rsidRPr="00D961B9">
        <w:rPr>
          <w:sz w:val="24"/>
          <w:szCs w:val="24"/>
          <w:lang w:val="en-AU"/>
        </w:rPr>
        <w:t xml:space="preserve">mining and associated </w:t>
      </w:r>
      <w:r w:rsidRPr="00D961B9">
        <w:rPr>
          <w:sz w:val="24"/>
          <w:szCs w:val="24"/>
          <w:lang w:val="en-AU"/>
        </w:rPr>
        <w:t xml:space="preserve">infrastructure developments, the role of biodiversity offsets looks set to increase. </w:t>
      </w:r>
      <w:r w:rsidR="008A73F9" w:rsidRPr="00D961B9">
        <w:rPr>
          <w:sz w:val="24"/>
          <w:szCs w:val="24"/>
          <w:lang w:val="en-AU"/>
        </w:rPr>
        <w:t xml:space="preserve">If designed and implemented well, they have the potential to help balance economic development with more responsible environmental stewardship. However, a more transparent and science-based approach is needed if this innovative mechanism is to realise its full potential in working towards a more environmentally responsible </w:t>
      </w:r>
      <w:r w:rsidR="00A31F60" w:rsidRPr="00D961B9">
        <w:rPr>
          <w:sz w:val="24"/>
          <w:szCs w:val="24"/>
          <w:lang w:val="en-AU"/>
        </w:rPr>
        <w:t xml:space="preserve">approach to </w:t>
      </w:r>
      <w:r w:rsidR="008A73F9" w:rsidRPr="00D961B9">
        <w:rPr>
          <w:sz w:val="24"/>
          <w:szCs w:val="24"/>
          <w:lang w:val="en-AU"/>
        </w:rPr>
        <w:t>mining and infrastructur</w:t>
      </w:r>
      <w:r w:rsidR="00A31F60" w:rsidRPr="00D961B9">
        <w:rPr>
          <w:sz w:val="24"/>
          <w:szCs w:val="24"/>
          <w:lang w:val="en-AU"/>
        </w:rPr>
        <w:t>e</w:t>
      </w:r>
      <w:r w:rsidR="008A73F9" w:rsidRPr="00D961B9">
        <w:rPr>
          <w:sz w:val="24"/>
          <w:szCs w:val="24"/>
          <w:lang w:val="en-AU"/>
        </w:rPr>
        <w:t xml:space="preserve"> development.</w:t>
      </w:r>
    </w:p>
    <w:p w14:paraId="6CE58240" w14:textId="77777777" w:rsidR="008A73F9" w:rsidRPr="00D961B9" w:rsidRDefault="008A73F9" w:rsidP="008A73F9">
      <w:pPr>
        <w:autoSpaceDE w:val="0"/>
        <w:autoSpaceDN w:val="0"/>
        <w:adjustRightInd w:val="0"/>
        <w:spacing w:after="0" w:line="288" w:lineRule="auto"/>
        <w:rPr>
          <w:rFonts w:ascii="Calibri" w:hAnsi="Calibri"/>
          <w:sz w:val="24"/>
          <w:szCs w:val="24"/>
          <w:lang w:val="en-AU"/>
        </w:rPr>
      </w:pPr>
    </w:p>
    <w:p w14:paraId="3BC2B0A2" w14:textId="77777777" w:rsidR="00AB255F" w:rsidRPr="00D961B9" w:rsidRDefault="00AB255F" w:rsidP="009B46F5">
      <w:pPr>
        <w:pStyle w:val="NormalWeb"/>
        <w:rPr>
          <w:rFonts w:ascii="Calibri" w:eastAsiaTheme="minorHAnsi" w:hAnsi="Calibri" w:cstheme="minorBidi"/>
          <w:b/>
          <w:lang w:val="en-GB" w:eastAsia="en-US"/>
        </w:rPr>
      </w:pPr>
      <w:r w:rsidRPr="00D961B9">
        <w:rPr>
          <w:rFonts w:ascii="Calibri" w:eastAsiaTheme="minorHAnsi" w:hAnsi="Calibri" w:cstheme="minorBidi"/>
          <w:b/>
          <w:lang w:val="en-GB" w:eastAsia="en-US"/>
        </w:rPr>
        <w:t>References</w:t>
      </w:r>
    </w:p>
    <w:p w14:paraId="36FF1988" w14:textId="77777777" w:rsidR="009B46F5" w:rsidRPr="00D961B9" w:rsidRDefault="00AB255F"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en-GB" w:eastAsia="en-US"/>
        </w:rPr>
        <w:t>Anglo Platinium,</w:t>
      </w:r>
      <w:r w:rsidR="009B46F5" w:rsidRPr="00D961B9">
        <w:rPr>
          <w:rFonts w:ascii="Calibri" w:eastAsiaTheme="minorHAnsi" w:hAnsi="Calibri" w:cstheme="minorBidi"/>
          <w:lang w:val="en-GB" w:eastAsia="en-US"/>
        </w:rPr>
        <w:t xml:space="preserve"> 2009. BBOP Pilot Project Case Study. Potgietersrust Platinums Limited. Johannesburg, South Africa.</w:t>
      </w:r>
    </w:p>
    <w:p w14:paraId="738358B6" w14:textId="4A88AD48" w:rsidR="000D444A" w:rsidRPr="00D961B9" w:rsidRDefault="009B46F5"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en-GB" w:eastAsia="en-US"/>
        </w:rPr>
        <w:t xml:space="preserve">Aukland, L., Costa, </w:t>
      </w:r>
      <w:r w:rsidR="00FB1FEE" w:rsidRPr="00D961B9">
        <w:rPr>
          <w:rFonts w:ascii="Calibri" w:eastAsiaTheme="minorHAnsi" w:hAnsi="Calibri" w:cstheme="minorBidi"/>
          <w:lang w:val="en-GB" w:eastAsia="en-US"/>
        </w:rPr>
        <w:t xml:space="preserve">P.M., </w:t>
      </w:r>
      <w:r w:rsidRPr="00D961B9">
        <w:rPr>
          <w:rFonts w:ascii="Calibri" w:eastAsiaTheme="minorHAnsi" w:hAnsi="Calibri" w:cstheme="minorBidi"/>
          <w:lang w:val="en-GB" w:eastAsia="en-US"/>
        </w:rPr>
        <w:t>Brown</w:t>
      </w:r>
      <w:r w:rsidR="000D444A" w:rsidRPr="00D961B9">
        <w:rPr>
          <w:rFonts w:ascii="Calibri" w:eastAsiaTheme="minorHAnsi" w:hAnsi="Calibri" w:cstheme="minorBidi"/>
          <w:lang w:val="en-GB" w:eastAsia="en-US"/>
        </w:rPr>
        <w:t>, S</w:t>
      </w:r>
      <w:r w:rsidRPr="00D961B9">
        <w:rPr>
          <w:rFonts w:ascii="Calibri" w:eastAsiaTheme="minorHAnsi" w:hAnsi="Calibri" w:cstheme="minorBidi"/>
          <w:lang w:val="en-GB" w:eastAsia="en-US"/>
        </w:rPr>
        <w:t>.</w:t>
      </w:r>
      <w:r w:rsidR="000D444A" w:rsidRPr="00D961B9">
        <w:rPr>
          <w:rFonts w:ascii="Calibri" w:eastAsiaTheme="minorHAnsi" w:hAnsi="Calibri" w:cstheme="minorBidi"/>
          <w:lang w:val="en-GB" w:eastAsia="en-US"/>
        </w:rPr>
        <w:t>,</w:t>
      </w:r>
      <w:r w:rsidRPr="00D961B9">
        <w:rPr>
          <w:rFonts w:ascii="Calibri" w:eastAsiaTheme="minorHAnsi" w:hAnsi="Calibri" w:cstheme="minorBidi"/>
          <w:lang w:val="en-GB" w:eastAsia="en-US"/>
        </w:rPr>
        <w:t xml:space="preserve"> 2003. A conceptual framework and its application for addressing leakage: </w:t>
      </w:r>
      <w:r w:rsidR="00A31F60" w:rsidRPr="00D961B9">
        <w:rPr>
          <w:rFonts w:ascii="Calibri" w:eastAsiaTheme="minorHAnsi" w:hAnsi="Calibri" w:cstheme="minorBidi"/>
          <w:lang w:val="en-GB" w:eastAsia="en-US"/>
        </w:rPr>
        <w:t>T</w:t>
      </w:r>
      <w:r w:rsidRPr="00D961B9">
        <w:rPr>
          <w:rFonts w:ascii="Calibri" w:eastAsiaTheme="minorHAnsi" w:hAnsi="Calibri" w:cstheme="minorBidi"/>
          <w:lang w:val="en-GB" w:eastAsia="en-US"/>
        </w:rPr>
        <w:t xml:space="preserve">he case of avoided deforestation. </w:t>
      </w:r>
      <w:r w:rsidRPr="00D961B9">
        <w:rPr>
          <w:rFonts w:ascii="Calibri" w:eastAsiaTheme="minorHAnsi" w:hAnsi="Calibri" w:cstheme="minorBidi"/>
          <w:lang w:val="en-AU" w:eastAsia="en-US"/>
        </w:rPr>
        <w:t>Climate Policy </w:t>
      </w:r>
      <w:r w:rsidR="00347F9C" w:rsidRPr="00D961B9">
        <w:rPr>
          <w:rFonts w:ascii="Calibri" w:eastAsiaTheme="minorHAnsi" w:hAnsi="Calibri" w:cstheme="minorBidi"/>
          <w:lang w:val="en-GB" w:eastAsia="en-US"/>
        </w:rPr>
        <w:t>3</w:t>
      </w:r>
      <w:r w:rsidR="000D444A" w:rsidRPr="00D961B9">
        <w:rPr>
          <w:rFonts w:ascii="Calibri" w:eastAsiaTheme="minorHAnsi" w:hAnsi="Calibri" w:cstheme="minorBidi"/>
          <w:lang w:val="en-GB" w:eastAsia="en-US"/>
        </w:rPr>
        <w:t xml:space="preserve"> (2)</w:t>
      </w:r>
      <w:r w:rsidR="00347F9C" w:rsidRPr="00D961B9">
        <w:rPr>
          <w:rFonts w:ascii="Calibri" w:eastAsiaTheme="minorHAnsi" w:hAnsi="Calibri" w:cstheme="minorBidi"/>
          <w:lang w:val="en-GB" w:eastAsia="en-US"/>
        </w:rPr>
        <w:t>,</w:t>
      </w:r>
      <w:r w:rsidRPr="00D961B9">
        <w:rPr>
          <w:rFonts w:ascii="Calibri" w:eastAsiaTheme="minorHAnsi" w:hAnsi="Calibri" w:cstheme="minorBidi"/>
          <w:lang w:val="en-GB" w:eastAsia="en-US"/>
        </w:rPr>
        <w:t xml:space="preserve"> 123-136</w:t>
      </w:r>
      <w:r w:rsidR="00AB255F" w:rsidRPr="00D961B9">
        <w:rPr>
          <w:rFonts w:ascii="Calibri" w:eastAsiaTheme="minorHAnsi" w:hAnsi="Calibri" w:cstheme="minorBidi"/>
          <w:lang w:val="en-GB" w:eastAsia="en-US"/>
        </w:rPr>
        <w:t>.</w:t>
      </w:r>
    </w:p>
    <w:p w14:paraId="10EF23F3" w14:textId="77777777" w:rsidR="007A4C9B" w:rsidRPr="00D961B9" w:rsidRDefault="00347F9C"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en-GB" w:eastAsia="en-US"/>
        </w:rPr>
        <w:t>Biggs</w:t>
      </w:r>
      <w:r w:rsidR="007A4C9B" w:rsidRPr="00D961B9">
        <w:rPr>
          <w:rFonts w:ascii="Calibri" w:eastAsiaTheme="minorHAnsi" w:hAnsi="Calibri" w:cstheme="minorBidi"/>
          <w:lang w:val="en-GB" w:eastAsia="en-US"/>
        </w:rPr>
        <w:t xml:space="preserve">, R., </w:t>
      </w:r>
      <w:r w:rsidR="000D444A" w:rsidRPr="00D961B9">
        <w:rPr>
          <w:rFonts w:ascii="Calibri" w:eastAsiaTheme="minorHAnsi" w:hAnsi="Calibri" w:cstheme="minorBidi"/>
          <w:lang w:val="en-GB" w:eastAsia="en-US"/>
        </w:rPr>
        <w:t>Reyers, B.,</w:t>
      </w:r>
      <w:r w:rsidR="007A4C9B" w:rsidRPr="00D961B9">
        <w:rPr>
          <w:rFonts w:ascii="Calibri" w:eastAsiaTheme="minorHAnsi" w:hAnsi="Calibri" w:cstheme="minorBidi"/>
          <w:lang w:val="en-GB" w:eastAsia="en-US"/>
        </w:rPr>
        <w:t xml:space="preserve"> </w:t>
      </w:r>
      <w:r w:rsidR="000D444A" w:rsidRPr="00D961B9">
        <w:rPr>
          <w:rFonts w:ascii="Calibri" w:eastAsiaTheme="minorHAnsi" w:hAnsi="Calibri" w:cstheme="minorBidi"/>
          <w:lang w:val="en-GB" w:eastAsia="en-US"/>
        </w:rPr>
        <w:t>Scholes</w:t>
      </w:r>
      <w:r w:rsidR="007A4C9B" w:rsidRPr="00D961B9">
        <w:rPr>
          <w:rFonts w:ascii="Calibri" w:eastAsiaTheme="minorHAnsi" w:hAnsi="Calibri" w:cstheme="minorBidi"/>
          <w:lang w:val="en-GB" w:eastAsia="en-US"/>
        </w:rPr>
        <w:t>, R. J.</w:t>
      </w:r>
      <w:r w:rsidR="000D444A" w:rsidRPr="00D961B9">
        <w:rPr>
          <w:rFonts w:ascii="Calibri" w:eastAsiaTheme="minorHAnsi" w:hAnsi="Calibri" w:cstheme="minorBidi"/>
          <w:lang w:val="en-GB" w:eastAsia="en-US"/>
        </w:rPr>
        <w:t>,</w:t>
      </w:r>
      <w:r w:rsidR="007A4C9B" w:rsidRPr="00D961B9">
        <w:rPr>
          <w:rFonts w:ascii="Calibri" w:eastAsiaTheme="minorHAnsi" w:hAnsi="Calibri" w:cstheme="minorBidi"/>
          <w:lang w:val="en-GB" w:eastAsia="en-US"/>
        </w:rPr>
        <w:t xml:space="preserve"> 2006. A biodiversity intactness score for South Africa. South African Jo</w:t>
      </w:r>
      <w:r w:rsidR="000D444A" w:rsidRPr="00D961B9">
        <w:rPr>
          <w:rFonts w:ascii="Calibri" w:eastAsiaTheme="minorHAnsi" w:hAnsi="Calibri" w:cstheme="minorBidi"/>
          <w:lang w:val="en-GB" w:eastAsia="en-US"/>
        </w:rPr>
        <w:t>urnal of Science, 102, 277-283.</w:t>
      </w:r>
    </w:p>
    <w:p w14:paraId="4142CF0F" w14:textId="77777777" w:rsidR="009B46F5" w:rsidRPr="00D961B9" w:rsidRDefault="00AB255F" w:rsidP="009B46F5">
      <w:pPr>
        <w:spacing w:before="100" w:beforeAutospacing="1" w:after="100" w:afterAutospacing="1" w:line="240" w:lineRule="auto"/>
        <w:rPr>
          <w:rFonts w:ascii="Calibri" w:hAnsi="Calibri"/>
          <w:sz w:val="24"/>
          <w:szCs w:val="24"/>
          <w:lang w:val="en-GB"/>
        </w:rPr>
      </w:pPr>
      <w:r w:rsidRPr="00D961B9">
        <w:rPr>
          <w:rFonts w:ascii="Calibri" w:hAnsi="Calibri"/>
          <w:sz w:val="24"/>
          <w:szCs w:val="24"/>
          <w:lang w:val="en-GB"/>
        </w:rPr>
        <w:t>BBOP,</w:t>
      </w:r>
      <w:r w:rsidR="009B46F5" w:rsidRPr="00D961B9">
        <w:rPr>
          <w:rFonts w:ascii="Calibri" w:hAnsi="Calibri"/>
          <w:sz w:val="24"/>
          <w:szCs w:val="24"/>
          <w:lang w:val="en-GB"/>
        </w:rPr>
        <w:t xml:space="preserve"> 2009. Biodiversity Offset Design Handbook. Business and Biodiversity Offsets Programme (BBOP), Washington, D.C. ISBN 978-1-932928-31-0.</w:t>
      </w:r>
    </w:p>
    <w:p w14:paraId="3B0E4B9D" w14:textId="77777777" w:rsidR="009B46F5" w:rsidRPr="00D961B9" w:rsidRDefault="00AB255F"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BBOP,</w:t>
      </w:r>
      <w:r w:rsidR="009B46F5" w:rsidRPr="00D961B9">
        <w:rPr>
          <w:rFonts w:ascii="Calibri" w:hAnsi="Calibri"/>
          <w:sz w:val="24"/>
          <w:szCs w:val="24"/>
          <w:lang w:val="en-GB"/>
        </w:rPr>
        <w:t xml:space="preserve"> 2013. To No Net Loss and Beyond An Overview of the Business and Biodiversity Offsets Programme. Business and Biodiversity Offsets Programme (BBOP), Washington, D.C. ISBN 20978-1-932928-31-0</w:t>
      </w:r>
    </w:p>
    <w:p w14:paraId="2E77A5B8" w14:textId="77777777"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 xml:space="preserve">Department of Natural Resources and </w:t>
      </w:r>
      <w:r w:rsidR="00AB255F" w:rsidRPr="00D961B9">
        <w:rPr>
          <w:rFonts w:ascii="Calibri" w:hAnsi="Calibri"/>
          <w:sz w:val="24"/>
          <w:szCs w:val="24"/>
          <w:lang w:val="en-GB"/>
        </w:rPr>
        <w:t>Environment,</w:t>
      </w:r>
      <w:r w:rsidR="000D444A" w:rsidRPr="00D961B9">
        <w:rPr>
          <w:rFonts w:ascii="Calibri" w:hAnsi="Calibri"/>
          <w:sz w:val="24"/>
          <w:szCs w:val="24"/>
          <w:lang w:val="en-GB"/>
        </w:rPr>
        <w:t xml:space="preserve"> </w:t>
      </w:r>
      <w:r w:rsidRPr="00D961B9">
        <w:rPr>
          <w:rFonts w:ascii="Calibri" w:hAnsi="Calibri"/>
          <w:sz w:val="24"/>
          <w:szCs w:val="24"/>
          <w:lang w:val="en-GB"/>
        </w:rPr>
        <w:t>2002. Victoria’s Native Vegetation Management – A Framework for Action. Department of Natural Resources and Environment, Melbourne, Victoria.</w:t>
      </w:r>
    </w:p>
    <w:p w14:paraId="3F1D5BF6" w14:textId="77777777" w:rsidR="005D06CF" w:rsidRPr="00D961B9" w:rsidRDefault="005D06CF"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The Climate, Community a</w:t>
      </w:r>
      <w:r w:rsidR="00AB255F" w:rsidRPr="00D961B9">
        <w:rPr>
          <w:rFonts w:ascii="Calibri" w:hAnsi="Calibri"/>
          <w:sz w:val="24"/>
          <w:szCs w:val="24"/>
          <w:lang w:val="en-GB"/>
        </w:rPr>
        <w:t>nd Biodiversity (CCB) Standards,</w:t>
      </w:r>
      <w:r w:rsidRPr="00D961B9">
        <w:rPr>
          <w:rFonts w:ascii="Calibri" w:hAnsi="Calibri"/>
          <w:sz w:val="24"/>
          <w:szCs w:val="24"/>
          <w:lang w:val="en-GB"/>
        </w:rPr>
        <w:t xml:space="preserve"> 2013. </w:t>
      </w:r>
      <w:hyperlink r:id="rId6" w:history="1">
        <w:r w:rsidRPr="00D961B9">
          <w:rPr>
            <w:rFonts w:ascii="Calibri" w:hAnsi="Calibri"/>
            <w:sz w:val="24"/>
            <w:szCs w:val="24"/>
            <w:lang w:val="en-GB"/>
          </w:rPr>
          <w:t>http://www.climate-standards.org/</w:t>
        </w:r>
      </w:hyperlink>
      <w:r w:rsidRPr="00D961B9">
        <w:rPr>
          <w:rFonts w:ascii="Calibri" w:hAnsi="Calibri"/>
          <w:sz w:val="24"/>
          <w:szCs w:val="24"/>
          <w:lang w:val="en-GB"/>
        </w:rPr>
        <w:t>. Last visited on the 15/11/13</w:t>
      </w:r>
    </w:p>
    <w:p w14:paraId="645DB738" w14:textId="55CDFFB0" w:rsidR="009B46F5" w:rsidRPr="00D961B9" w:rsidRDefault="00AB255F"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en-GB" w:eastAsia="en-US"/>
        </w:rPr>
        <w:t>ICMM and IUCN,</w:t>
      </w:r>
      <w:r w:rsidR="009B46F5" w:rsidRPr="00D961B9">
        <w:rPr>
          <w:rFonts w:ascii="Calibri" w:eastAsiaTheme="minorHAnsi" w:hAnsi="Calibri" w:cstheme="minorBidi"/>
          <w:lang w:val="en-GB" w:eastAsia="en-US"/>
        </w:rPr>
        <w:t xml:space="preserve"> 2013. Independent </w:t>
      </w:r>
      <w:r w:rsidR="00A31F60" w:rsidRPr="00D961B9">
        <w:rPr>
          <w:rFonts w:ascii="Calibri" w:eastAsiaTheme="minorHAnsi" w:hAnsi="Calibri" w:cstheme="minorBidi"/>
          <w:lang w:val="en-GB" w:eastAsia="en-US"/>
        </w:rPr>
        <w:t>R</w:t>
      </w:r>
      <w:r w:rsidR="009B46F5" w:rsidRPr="00D961B9">
        <w:rPr>
          <w:rFonts w:ascii="Calibri" w:eastAsiaTheme="minorHAnsi" w:hAnsi="Calibri" w:cstheme="minorBidi"/>
          <w:lang w:val="en-GB" w:eastAsia="en-US"/>
        </w:rPr>
        <w:t xml:space="preserve">eport on </w:t>
      </w:r>
      <w:r w:rsidR="00A31F60" w:rsidRPr="00D961B9">
        <w:rPr>
          <w:rFonts w:ascii="Calibri" w:eastAsiaTheme="minorHAnsi" w:hAnsi="Calibri" w:cstheme="minorBidi"/>
          <w:lang w:val="en-GB" w:eastAsia="en-US"/>
        </w:rPr>
        <w:t>B</w:t>
      </w:r>
      <w:r w:rsidR="009B46F5" w:rsidRPr="00D961B9">
        <w:rPr>
          <w:rFonts w:ascii="Calibri" w:eastAsiaTheme="minorHAnsi" w:hAnsi="Calibri" w:cstheme="minorBidi"/>
          <w:lang w:val="en-GB" w:eastAsia="en-US"/>
        </w:rPr>
        <w:t xml:space="preserve">iodiversity </w:t>
      </w:r>
      <w:r w:rsidR="00A31F60" w:rsidRPr="00D961B9">
        <w:rPr>
          <w:rFonts w:ascii="Calibri" w:eastAsiaTheme="minorHAnsi" w:hAnsi="Calibri" w:cstheme="minorBidi"/>
          <w:lang w:val="en-GB" w:eastAsia="en-US"/>
        </w:rPr>
        <w:t>O</w:t>
      </w:r>
      <w:r w:rsidR="009B46F5" w:rsidRPr="00D961B9">
        <w:rPr>
          <w:rFonts w:ascii="Calibri" w:eastAsiaTheme="minorHAnsi" w:hAnsi="Calibri" w:cstheme="minorBidi"/>
          <w:lang w:val="en-GB" w:eastAsia="en-US"/>
        </w:rPr>
        <w:t xml:space="preserve">ffsets. Prepared by The Biodiversity Consultancy for the International Council on Mining and Metals (ICMM) and the International Union for Conservation of Nature (IUCN). </w:t>
      </w:r>
    </w:p>
    <w:p w14:paraId="7A4ACACA" w14:textId="77777777" w:rsidR="009B46F5" w:rsidRPr="00D961B9" w:rsidRDefault="009B46F5"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de-DE" w:eastAsia="en-US"/>
        </w:rPr>
        <w:t>Gibbons, P., Lindenmayer</w:t>
      </w:r>
      <w:r w:rsidR="000D444A" w:rsidRPr="00D961B9">
        <w:rPr>
          <w:rFonts w:ascii="Calibri" w:eastAsiaTheme="minorHAnsi" w:hAnsi="Calibri" w:cstheme="minorBidi"/>
          <w:lang w:val="de-DE" w:eastAsia="en-US"/>
        </w:rPr>
        <w:t>, D. B</w:t>
      </w:r>
      <w:r w:rsidRPr="00D961B9">
        <w:rPr>
          <w:rFonts w:ascii="Calibri" w:eastAsiaTheme="minorHAnsi" w:hAnsi="Calibri" w:cstheme="minorBidi"/>
          <w:lang w:val="de-DE" w:eastAsia="en-US"/>
        </w:rPr>
        <w:t>.</w:t>
      </w:r>
      <w:r w:rsidR="000D444A" w:rsidRPr="00D961B9">
        <w:rPr>
          <w:rFonts w:ascii="Calibri" w:eastAsiaTheme="minorHAnsi" w:hAnsi="Calibri" w:cstheme="minorBidi"/>
          <w:lang w:val="de-DE" w:eastAsia="en-US"/>
        </w:rPr>
        <w:t>,</w:t>
      </w:r>
      <w:r w:rsidRPr="00D961B9">
        <w:rPr>
          <w:rFonts w:ascii="Calibri" w:eastAsiaTheme="minorHAnsi" w:hAnsi="Calibri" w:cstheme="minorBidi"/>
          <w:lang w:val="de-DE" w:eastAsia="en-US"/>
        </w:rPr>
        <w:t xml:space="preserve"> 2007. </w:t>
      </w:r>
      <w:r w:rsidRPr="00D961B9">
        <w:rPr>
          <w:rFonts w:ascii="Calibri" w:eastAsiaTheme="minorHAnsi" w:hAnsi="Calibri" w:cstheme="minorBidi"/>
          <w:lang w:val="en-GB" w:eastAsia="en-US"/>
        </w:rPr>
        <w:t>Offsets for land clearing: No net loss or the tail wagging the dog? Ecolog</w:t>
      </w:r>
      <w:r w:rsidR="000D444A" w:rsidRPr="00D961B9">
        <w:rPr>
          <w:rFonts w:ascii="Calibri" w:eastAsiaTheme="minorHAnsi" w:hAnsi="Calibri" w:cstheme="minorBidi"/>
          <w:lang w:val="en-GB" w:eastAsia="en-US"/>
        </w:rPr>
        <w:t xml:space="preserve">ical Management &amp; Restoration, 8, </w:t>
      </w:r>
      <w:r w:rsidRPr="00D961B9">
        <w:rPr>
          <w:rFonts w:ascii="Calibri" w:eastAsiaTheme="minorHAnsi" w:hAnsi="Calibri" w:cstheme="minorBidi"/>
          <w:lang w:val="en-GB" w:eastAsia="en-US"/>
        </w:rPr>
        <w:t xml:space="preserve">26–31. </w:t>
      </w:r>
    </w:p>
    <w:p w14:paraId="2252935B" w14:textId="77777777" w:rsidR="009B46F5" w:rsidRPr="00D961B9" w:rsidRDefault="009B46F5"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en-GB" w:eastAsia="en-US"/>
        </w:rPr>
        <w:t xml:space="preserve">Gibbons, P., Briggs, </w:t>
      </w:r>
      <w:r w:rsidR="00F4038F" w:rsidRPr="00D961B9">
        <w:rPr>
          <w:rFonts w:ascii="Calibri" w:eastAsiaTheme="minorHAnsi" w:hAnsi="Calibri" w:cstheme="minorBidi"/>
          <w:lang w:val="en-GB" w:eastAsia="en-US"/>
        </w:rPr>
        <w:t xml:space="preserve">S. V., </w:t>
      </w:r>
      <w:r w:rsidRPr="00D961B9">
        <w:rPr>
          <w:rFonts w:ascii="Calibri" w:eastAsiaTheme="minorHAnsi" w:hAnsi="Calibri" w:cstheme="minorBidi"/>
          <w:lang w:val="en-GB" w:eastAsia="en-US"/>
        </w:rPr>
        <w:t xml:space="preserve">Ayers, </w:t>
      </w:r>
      <w:r w:rsidR="00F4038F" w:rsidRPr="00D961B9">
        <w:rPr>
          <w:rFonts w:ascii="Calibri" w:eastAsiaTheme="minorHAnsi" w:hAnsi="Calibri" w:cstheme="minorBidi"/>
          <w:lang w:val="en-GB" w:eastAsia="en-US"/>
        </w:rPr>
        <w:t>D.,</w:t>
      </w:r>
      <w:r w:rsidRPr="00D961B9">
        <w:rPr>
          <w:rFonts w:ascii="Calibri" w:eastAsiaTheme="minorHAnsi" w:hAnsi="Calibri" w:cstheme="minorBidi"/>
          <w:lang w:val="en-GB" w:eastAsia="en-US"/>
        </w:rPr>
        <w:t xml:space="preserve"> Seddon, </w:t>
      </w:r>
      <w:r w:rsidR="00F4038F" w:rsidRPr="00D961B9">
        <w:rPr>
          <w:rFonts w:ascii="Calibri" w:eastAsiaTheme="minorHAnsi" w:hAnsi="Calibri" w:cstheme="minorBidi"/>
          <w:lang w:val="en-GB" w:eastAsia="en-US"/>
        </w:rPr>
        <w:t>J.,</w:t>
      </w:r>
      <w:r w:rsidRPr="00D961B9">
        <w:rPr>
          <w:rFonts w:ascii="Calibri" w:eastAsiaTheme="minorHAnsi" w:hAnsi="Calibri" w:cstheme="minorBidi"/>
          <w:lang w:val="en-GB" w:eastAsia="en-US"/>
        </w:rPr>
        <w:t xml:space="preserve"> Doyle, </w:t>
      </w:r>
      <w:r w:rsidR="00F4038F" w:rsidRPr="00D961B9">
        <w:rPr>
          <w:rFonts w:ascii="Calibri" w:eastAsiaTheme="minorHAnsi" w:hAnsi="Calibri" w:cstheme="minorBidi"/>
          <w:lang w:val="en-GB" w:eastAsia="en-US"/>
        </w:rPr>
        <w:t>S.,</w:t>
      </w:r>
      <w:r w:rsidRPr="00D961B9">
        <w:rPr>
          <w:rFonts w:ascii="Calibri" w:eastAsiaTheme="minorHAnsi" w:hAnsi="Calibri" w:cstheme="minorBidi"/>
          <w:lang w:val="en-GB" w:eastAsia="en-US"/>
        </w:rPr>
        <w:t xml:space="preserve"> Cosier</w:t>
      </w:r>
      <w:r w:rsidR="00C439D5" w:rsidRPr="00D961B9">
        <w:rPr>
          <w:rFonts w:ascii="Calibri" w:eastAsiaTheme="minorHAnsi" w:hAnsi="Calibri" w:cstheme="minorBidi"/>
          <w:lang w:val="en-GB" w:eastAsia="en-US"/>
        </w:rPr>
        <w:t>,</w:t>
      </w:r>
      <w:r w:rsidR="00F4038F" w:rsidRPr="00D961B9">
        <w:rPr>
          <w:rFonts w:ascii="Calibri" w:eastAsiaTheme="minorHAnsi" w:hAnsi="Calibri" w:cstheme="minorBidi"/>
          <w:lang w:val="en-GB" w:eastAsia="en-US"/>
        </w:rPr>
        <w:t xml:space="preserve"> P.</w:t>
      </w:r>
      <w:r w:rsidRPr="00D961B9">
        <w:rPr>
          <w:rFonts w:ascii="Calibri" w:eastAsiaTheme="minorHAnsi" w:hAnsi="Calibri" w:cstheme="minorBidi"/>
          <w:lang w:val="en-GB" w:eastAsia="en-US"/>
        </w:rPr>
        <w:t>, McElhinny</w:t>
      </w:r>
      <w:r w:rsidR="00F4038F" w:rsidRPr="00D961B9">
        <w:rPr>
          <w:rFonts w:ascii="Calibri" w:eastAsiaTheme="minorHAnsi" w:hAnsi="Calibri" w:cstheme="minorBidi"/>
          <w:lang w:val="en-GB" w:eastAsia="en-US"/>
        </w:rPr>
        <w:t>, C.</w:t>
      </w:r>
      <w:r w:rsidRPr="00D961B9">
        <w:rPr>
          <w:rFonts w:ascii="Calibri" w:eastAsiaTheme="minorHAnsi" w:hAnsi="Calibri" w:cstheme="minorBidi"/>
          <w:lang w:val="en-GB" w:eastAsia="en-US"/>
        </w:rPr>
        <w:t>, Pelly</w:t>
      </w:r>
      <w:r w:rsidR="00F4038F" w:rsidRPr="00D961B9">
        <w:rPr>
          <w:rFonts w:ascii="Calibri" w:eastAsiaTheme="minorHAnsi" w:hAnsi="Calibri" w:cstheme="minorBidi"/>
          <w:lang w:val="en-GB" w:eastAsia="en-US"/>
        </w:rPr>
        <w:t xml:space="preserve">, V., </w:t>
      </w:r>
      <w:r w:rsidRPr="00D961B9">
        <w:rPr>
          <w:rFonts w:ascii="Calibri" w:eastAsiaTheme="minorHAnsi" w:hAnsi="Calibri" w:cstheme="minorBidi"/>
          <w:lang w:val="en-GB" w:eastAsia="en-US"/>
        </w:rPr>
        <w:t>Roberts</w:t>
      </w:r>
      <w:r w:rsidR="00C439D5" w:rsidRPr="00D961B9">
        <w:rPr>
          <w:rFonts w:ascii="Calibri" w:eastAsiaTheme="minorHAnsi" w:hAnsi="Calibri" w:cstheme="minorBidi"/>
          <w:lang w:val="en-GB" w:eastAsia="en-US"/>
        </w:rPr>
        <w:t>,</w:t>
      </w:r>
      <w:r w:rsidR="00F4038F" w:rsidRPr="00D961B9">
        <w:rPr>
          <w:rFonts w:ascii="Calibri" w:eastAsiaTheme="minorHAnsi" w:hAnsi="Calibri" w:cstheme="minorBidi"/>
          <w:lang w:val="en-GB" w:eastAsia="en-US"/>
        </w:rPr>
        <w:t xml:space="preserve"> K</w:t>
      </w:r>
      <w:r w:rsidRPr="00D961B9">
        <w:rPr>
          <w:rFonts w:ascii="Calibri" w:eastAsiaTheme="minorHAnsi" w:hAnsi="Calibri" w:cstheme="minorBidi"/>
          <w:lang w:val="en-GB" w:eastAsia="en-US"/>
        </w:rPr>
        <w:t>.</w:t>
      </w:r>
      <w:r w:rsidR="00FB1FEE" w:rsidRPr="00D961B9">
        <w:rPr>
          <w:rFonts w:ascii="Calibri" w:eastAsiaTheme="minorHAnsi" w:hAnsi="Calibri" w:cstheme="minorBidi"/>
          <w:lang w:val="en-GB" w:eastAsia="en-US"/>
        </w:rPr>
        <w:t>,</w:t>
      </w:r>
      <w:r w:rsidR="0066030C" w:rsidRPr="00D961B9">
        <w:rPr>
          <w:rFonts w:ascii="Calibri" w:eastAsiaTheme="minorHAnsi" w:hAnsi="Calibri" w:cstheme="minorBidi"/>
          <w:lang w:val="en-GB" w:eastAsia="en-US"/>
        </w:rPr>
        <w:t xml:space="preserve"> </w:t>
      </w:r>
      <w:r w:rsidRPr="00D961B9">
        <w:rPr>
          <w:rFonts w:ascii="Calibri" w:eastAsiaTheme="minorHAnsi" w:hAnsi="Calibri" w:cstheme="minorBidi"/>
          <w:lang w:val="en-GB" w:eastAsia="en-US"/>
        </w:rPr>
        <w:t>2009. An operational method to assess impacts of land clearing on terrestrial biodiversity. Ecological Indicators</w:t>
      </w:r>
      <w:r w:rsidR="00F4038F" w:rsidRPr="00D961B9">
        <w:rPr>
          <w:rFonts w:ascii="Calibri" w:eastAsiaTheme="minorHAnsi" w:hAnsi="Calibri" w:cstheme="minorBidi"/>
          <w:lang w:val="en-GB" w:eastAsia="en-US"/>
        </w:rPr>
        <w:t xml:space="preserve">, 9, </w:t>
      </w:r>
      <w:r w:rsidRPr="00D961B9">
        <w:rPr>
          <w:rFonts w:ascii="Calibri" w:eastAsiaTheme="minorHAnsi" w:hAnsi="Calibri" w:cstheme="minorBidi"/>
          <w:lang w:val="en-GB" w:eastAsia="en-US"/>
        </w:rPr>
        <w:t xml:space="preserve">26–40. </w:t>
      </w:r>
    </w:p>
    <w:p w14:paraId="54EBDA28" w14:textId="77777777" w:rsidR="009B46F5" w:rsidRPr="00D961B9" w:rsidRDefault="009B46F5" w:rsidP="009B46F5">
      <w:pPr>
        <w:pStyle w:val="Heading1"/>
        <w:shd w:val="clear" w:color="auto" w:fill="FFFFFF"/>
        <w:spacing w:before="0" w:line="336" w:lineRule="atLeast"/>
        <w:textAlignment w:val="baseline"/>
        <w:rPr>
          <w:rFonts w:ascii="Calibri" w:eastAsiaTheme="minorHAnsi" w:hAnsi="Calibri" w:cstheme="minorBidi"/>
          <w:b w:val="0"/>
          <w:bCs w:val="0"/>
          <w:color w:val="auto"/>
          <w:sz w:val="24"/>
          <w:szCs w:val="24"/>
          <w:lang w:val="en-AU"/>
        </w:rPr>
      </w:pPr>
      <w:r w:rsidRPr="00D961B9">
        <w:rPr>
          <w:rFonts w:ascii="Calibri" w:eastAsiaTheme="minorHAnsi" w:hAnsi="Calibri" w:cstheme="minorBidi"/>
          <w:b w:val="0"/>
          <w:color w:val="auto"/>
          <w:sz w:val="24"/>
          <w:szCs w:val="24"/>
          <w:lang w:val="de-DE"/>
        </w:rPr>
        <w:lastRenderedPageBreak/>
        <w:t>Huettner</w:t>
      </w:r>
      <w:r w:rsidRPr="00D961B9">
        <w:rPr>
          <w:rFonts w:ascii="Calibri" w:eastAsiaTheme="minorHAnsi" w:hAnsi="Calibri" w:cstheme="minorBidi"/>
          <w:b w:val="0"/>
          <w:bCs w:val="0"/>
          <w:color w:val="auto"/>
          <w:sz w:val="24"/>
          <w:szCs w:val="24"/>
          <w:lang w:val="de-DE"/>
        </w:rPr>
        <w:t xml:space="preserve">, M., Leemans, </w:t>
      </w:r>
      <w:r w:rsidR="00FB1FEE" w:rsidRPr="00D961B9">
        <w:rPr>
          <w:rFonts w:ascii="Calibri" w:eastAsiaTheme="minorHAnsi" w:hAnsi="Calibri" w:cstheme="minorBidi"/>
          <w:b w:val="0"/>
          <w:bCs w:val="0"/>
          <w:color w:val="auto"/>
          <w:sz w:val="24"/>
          <w:szCs w:val="24"/>
          <w:lang w:val="de-DE"/>
        </w:rPr>
        <w:t>R., Kok, K., Ebeling,</w:t>
      </w:r>
      <w:r w:rsidRPr="00D961B9">
        <w:rPr>
          <w:rFonts w:ascii="Calibri" w:eastAsiaTheme="minorHAnsi" w:hAnsi="Calibri" w:cstheme="minorBidi"/>
          <w:b w:val="0"/>
          <w:bCs w:val="0"/>
          <w:color w:val="auto"/>
          <w:sz w:val="24"/>
          <w:szCs w:val="24"/>
          <w:lang w:val="de-DE"/>
        </w:rPr>
        <w:t xml:space="preserve">  </w:t>
      </w:r>
      <w:r w:rsidR="00FB1FEE" w:rsidRPr="00D961B9">
        <w:rPr>
          <w:rFonts w:ascii="Calibri" w:eastAsiaTheme="minorHAnsi" w:hAnsi="Calibri" w:cstheme="minorBidi"/>
          <w:b w:val="0"/>
          <w:bCs w:val="0"/>
          <w:color w:val="auto"/>
          <w:sz w:val="24"/>
          <w:szCs w:val="24"/>
          <w:lang w:val="de-DE"/>
        </w:rPr>
        <w:t>J.,</w:t>
      </w:r>
      <w:r w:rsidRPr="00D961B9">
        <w:rPr>
          <w:rFonts w:ascii="Calibri" w:eastAsiaTheme="minorHAnsi" w:hAnsi="Calibri" w:cstheme="minorBidi"/>
          <w:b w:val="0"/>
          <w:bCs w:val="0"/>
          <w:color w:val="auto"/>
          <w:sz w:val="24"/>
          <w:szCs w:val="24"/>
          <w:lang w:val="de-DE"/>
        </w:rPr>
        <w:t xml:space="preserve">2009. </w:t>
      </w:r>
      <w:r w:rsidRPr="00D961B9">
        <w:rPr>
          <w:rFonts w:ascii="Calibri" w:eastAsiaTheme="minorHAnsi" w:hAnsi="Calibri" w:cstheme="minorBidi"/>
          <w:b w:val="0"/>
          <w:bCs w:val="0"/>
          <w:color w:val="auto"/>
          <w:sz w:val="24"/>
          <w:szCs w:val="24"/>
          <w:lang w:val="en-GB"/>
        </w:rPr>
        <w:t>A comparison of baseline methodologies for 'Reducing Emissions from Deforestation and Degradation’. Carbon Balance and Management</w:t>
      </w:r>
      <w:r w:rsidR="00FB1FEE" w:rsidRPr="00D961B9">
        <w:rPr>
          <w:rFonts w:ascii="Calibri" w:eastAsiaTheme="minorHAnsi" w:hAnsi="Calibri" w:cstheme="minorBidi"/>
          <w:b w:val="0"/>
          <w:bCs w:val="0"/>
          <w:color w:val="auto"/>
          <w:sz w:val="24"/>
          <w:szCs w:val="24"/>
          <w:lang w:val="en-GB"/>
        </w:rPr>
        <w:t>, 4</w:t>
      </w:r>
      <w:r w:rsidR="0066030C" w:rsidRPr="00D961B9">
        <w:rPr>
          <w:rFonts w:ascii="Calibri" w:eastAsiaTheme="minorHAnsi" w:hAnsi="Calibri" w:cstheme="minorBidi"/>
          <w:b w:val="0"/>
          <w:bCs w:val="0"/>
          <w:color w:val="auto"/>
          <w:sz w:val="24"/>
          <w:szCs w:val="24"/>
          <w:lang w:val="en-GB"/>
        </w:rPr>
        <w:t xml:space="preserve"> (1)</w:t>
      </w:r>
      <w:r w:rsidR="00FB1FEE" w:rsidRPr="00D961B9">
        <w:rPr>
          <w:rFonts w:ascii="Calibri" w:eastAsiaTheme="minorHAnsi" w:hAnsi="Calibri" w:cstheme="minorBidi"/>
          <w:b w:val="0"/>
          <w:bCs w:val="0"/>
          <w:color w:val="auto"/>
          <w:sz w:val="24"/>
          <w:szCs w:val="24"/>
          <w:lang w:val="en-GB"/>
        </w:rPr>
        <w:t xml:space="preserve">, </w:t>
      </w:r>
      <w:r w:rsidRPr="00D961B9">
        <w:rPr>
          <w:rFonts w:ascii="Calibri" w:eastAsiaTheme="minorHAnsi" w:hAnsi="Calibri" w:cstheme="minorBidi"/>
          <w:b w:val="0"/>
          <w:bCs w:val="0"/>
          <w:color w:val="auto"/>
          <w:sz w:val="24"/>
          <w:szCs w:val="24"/>
          <w:lang w:val="en-GB"/>
        </w:rPr>
        <w:t>4</w:t>
      </w:r>
      <w:r w:rsidR="00A31F60" w:rsidRPr="00D961B9">
        <w:rPr>
          <w:rFonts w:ascii="Calibri" w:eastAsiaTheme="minorHAnsi" w:hAnsi="Calibri" w:cstheme="minorBidi"/>
          <w:b w:val="0"/>
          <w:bCs w:val="0"/>
          <w:color w:val="auto"/>
          <w:sz w:val="24"/>
          <w:szCs w:val="24"/>
          <w:lang w:val="en-GB"/>
        </w:rPr>
        <w:t>.</w:t>
      </w:r>
      <w:r w:rsidRPr="00D961B9">
        <w:rPr>
          <w:rFonts w:ascii="Calibri" w:eastAsiaTheme="minorHAnsi" w:hAnsi="Calibri" w:cstheme="minorBidi"/>
          <w:b w:val="0"/>
          <w:bCs w:val="0"/>
          <w:color w:val="auto"/>
          <w:sz w:val="24"/>
          <w:szCs w:val="24"/>
          <w:lang w:val="en-GB"/>
        </w:rPr>
        <w:t> </w:t>
      </w:r>
      <w:r w:rsidRPr="00D961B9">
        <w:rPr>
          <w:rFonts w:ascii="Calibri" w:eastAsiaTheme="minorHAnsi" w:hAnsi="Calibri" w:cstheme="minorBidi"/>
          <w:b w:val="0"/>
          <w:bCs w:val="0"/>
          <w:color w:val="auto"/>
          <w:sz w:val="24"/>
          <w:szCs w:val="24"/>
          <w:lang w:val="en-AU"/>
        </w:rPr>
        <w:t> </w:t>
      </w:r>
    </w:p>
    <w:p w14:paraId="771D1109" w14:textId="679C42CE" w:rsidR="009B46F5" w:rsidRPr="00D961B9" w:rsidRDefault="009B46F5"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en-GB" w:eastAsia="en-US"/>
        </w:rPr>
        <w:t xml:space="preserve">Ingram, J. C., Whittaker, </w:t>
      </w:r>
      <w:r w:rsidR="0066030C" w:rsidRPr="00D961B9">
        <w:rPr>
          <w:rFonts w:ascii="Calibri" w:eastAsiaTheme="minorHAnsi" w:hAnsi="Calibri" w:cstheme="minorBidi"/>
          <w:lang w:val="en-GB" w:eastAsia="en-US"/>
        </w:rPr>
        <w:t xml:space="preserve">R. J., </w:t>
      </w:r>
      <w:r w:rsidRPr="00D961B9">
        <w:rPr>
          <w:rFonts w:ascii="Calibri" w:eastAsiaTheme="minorHAnsi" w:hAnsi="Calibri" w:cstheme="minorBidi"/>
          <w:lang w:val="en-GB" w:eastAsia="en-US"/>
        </w:rPr>
        <w:t>Dawson</w:t>
      </w:r>
      <w:r w:rsidR="0066030C" w:rsidRPr="00D961B9">
        <w:rPr>
          <w:rFonts w:ascii="Calibri" w:eastAsiaTheme="minorHAnsi" w:hAnsi="Calibri" w:cstheme="minorBidi"/>
          <w:lang w:val="en-GB" w:eastAsia="en-US"/>
        </w:rPr>
        <w:t>, T. P</w:t>
      </w:r>
      <w:r w:rsidRPr="00D961B9">
        <w:rPr>
          <w:rFonts w:ascii="Calibri" w:eastAsiaTheme="minorHAnsi" w:hAnsi="Calibri" w:cstheme="minorBidi"/>
          <w:lang w:val="en-GB" w:eastAsia="en-US"/>
        </w:rPr>
        <w:t>.</w:t>
      </w:r>
      <w:r w:rsidR="0066030C" w:rsidRPr="00D961B9">
        <w:rPr>
          <w:rFonts w:ascii="Calibri" w:eastAsiaTheme="minorHAnsi" w:hAnsi="Calibri" w:cstheme="minorBidi"/>
          <w:lang w:val="en-GB" w:eastAsia="en-US"/>
        </w:rPr>
        <w:t>,</w:t>
      </w:r>
      <w:r w:rsidRPr="00D961B9">
        <w:rPr>
          <w:rFonts w:ascii="Calibri" w:eastAsiaTheme="minorHAnsi" w:hAnsi="Calibri" w:cstheme="minorBidi"/>
          <w:lang w:val="en-GB" w:eastAsia="en-US"/>
        </w:rPr>
        <w:t xml:space="preserve"> 2005. Tree </w:t>
      </w:r>
      <w:r w:rsidR="00A31F60" w:rsidRPr="00D961B9">
        <w:rPr>
          <w:rFonts w:ascii="Calibri" w:eastAsiaTheme="minorHAnsi" w:hAnsi="Calibri" w:cstheme="minorBidi"/>
          <w:lang w:val="en-GB" w:eastAsia="en-US"/>
        </w:rPr>
        <w:t>s</w:t>
      </w:r>
      <w:r w:rsidRPr="00D961B9">
        <w:rPr>
          <w:rFonts w:ascii="Calibri" w:eastAsiaTheme="minorHAnsi" w:hAnsi="Calibri" w:cstheme="minorBidi"/>
          <w:lang w:val="en-GB" w:eastAsia="en-US"/>
        </w:rPr>
        <w:t xml:space="preserve">tructure and </w:t>
      </w:r>
      <w:r w:rsidR="00A31F60" w:rsidRPr="00D961B9">
        <w:rPr>
          <w:rFonts w:ascii="Calibri" w:eastAsiaTheme="minorHAnsi" w:hAnsi="Calibri" w:cstheme="minorBidi"/>
          <w:lang w:val="en-GB" w:eastAsia="en-US"/>
        </w:rPr>
        <w:t>d</w:t>
      </w:r>
      <w:r w:rsidRPr="00D961B9">
        <w:rPr>
          <w:rFonts w:ascii="Calibri" w:eastAsiaTheme="minorHAnsi" w:hAnsi="Calibri" w:cstheme="minorBidi"/>
          <w:lang w:val="en-GB" w:eastAsia="en-US"/>
        </w:rPr>
        <w:t xml:space="preserve">iversity in </w:t>
      </w:r>
      <w:r w:rsidR="00A31F60" w:rsidRPr="00D961B9">
        <w:rPr>
          <w:rFonts w:ascii="Calibri" w:eastAsiaTheme="minorHAnsi" w:hAnsi="Calibri" w:cstheme="minorBidi"/>
          <w:lang w:val="en-GB" w:eastAsia="en-US"/>
        </w:rPr>
        <w:t>h</w:t>
      </w:r>
      <w:r w:rsidRPr="00D961B9">
        <w:rPr>
          <w:rFonts w:ascii="Calibri" w:eastAsiaTheme="minorHAnsi" w:hAnsi="Calibri" w:cstheme="minorBidi"/>
          <w:lang w:val="en-GB" w:eastAsia="en-US"/>
        </w:rPr>
        <w:t>uman-</w:t>
      </w:r>
      <w:r w:rsidR="00A31F60" w:rsidRPr="00D961B9">
        <w:rPr>
          <w:rFonts w:ascii="Calibri" w:eastAsiaTheme="minorHAnsi" w:hAnsi="Calibri" w:cstheme="minorBidi"/>
          <w:lang w:val="en-GB" w:eastAsia="en-US"/>
        </w:rPr>
        <w:t>i</w:t>
      </w:r>
      <w:r w:rsidRPr="00D961B9">
        <w:rPr>
          <w:rFonts w:ascii="Calibri" w:eastAsiaTheme="minorHAnsi" w:hAnsi="Calibri" w:cstheme="minorBidi"/>
          <w:lang w:val="en-GB" w:eastAsia="en-US"/>
        </w:rPr>
        <w:t xml:space="preserve">mpacted </w:t>
      </w:r>
      <w:r w:rsidR="00A31F60" w:rsidRPr="00D961B9">
        <w:rPr>
          <w:rFonts w:ascii="Calibri" w:eastAsiaTheme="minorHAnsi" w:hAnsi="Calibri" w:cstheme="minorBidi"/>
          <w:lang w:val="en-GB" w:eastAsia="en-US"/>
        </w:rPr>
        <w:t>l</w:t>
      </w:r>
      <w:r w:rsidRPr="00D961B9">
        <w:rPr>
          <w:rFonts w:ascii="Calibri" w:eastAsiaTheme="minorHAnsi" w:hAnsi="Calibri" w:cstheme="minorBidi"/>
          <w:lang w:val="en-GB" w:eastAsia="en-US"/>
        </w:rPr>
        <w:t xml:space="preserve">ittoral </w:t>
      </w:r>
      <w:r w:rsidR="00A31F60" w:rsidRPr="00D961B9">
        <w:rPr>
          <w:rFonts w:ascii="Calibri" w:eastAsiaTheme="minorHAnsi" w:hAnsi="Calibri" w:cstheme="minorBidi"/>
          <w:lang w:val="en-GB" w:eastAsia="en-US"/>
        </w:rPr>
        <w:t>f</w:t>
      </w:r>
      <w:r w:rsidRPr="00D961B9">
        <w:rPr>
          <w:rFonts w:ascii="Calibri" w:eastAsiaTheme="minorHAnsi" w:hAnsi="Calibri" w:cstheme="minorBidi"/>
          <w:lang w:val="en-GB" w:eastAsia="en-US"/>
        </w:rPr>
        <w:t>orests, Madagasc</w:t>
      </w:r>
      <w:r w:rsidR="0066030C" w:rsidRPr="00D961B9">
        <w:rPr>
          <w:rFonts w:ascii="Calibri" w:eastAsiaTheme="minorHAnsi" w:hAnsi="Calibri" w:cstheme="minorBidi"/>
          <w:lang w:val="en-GB" w:eastAsia="en-US"/>
        </w:rPr>
        <w:t xml:space="preserve">ar. Environmental </w:t>
      </w:r>
      <w:r w:rsidR="00A31F60" w:rsidRPr="00D961B9">
        <w:rPr>
          <w:rFonts w:ascii="Calibri" w:eastAsiaTheme="minorHAnsi" w:hAnsi="Calibri" w:cstheme="minorBidi"/>
          <w:lang w:val="en-GB" w:eastAsia="en-US"/>
        </w:rPr>
        <w:t>M</w:t>
      </w:r>
      <w:r w:rsidR="0066030C" w:rsidRPr="00D961B9">
        <w:rPr>
          <w:rFonts w:ascii="Calibri" w:eastAsiaTheme="minorHAnsi" w:hAnsi="Calibri" w:cstheme="minorBidi"/>
          <w:lang w:val="en-GB" w:eastAsia="en-US"/>
        </w:rPr>
        <w:t xml:space="preserve">anagement, 35, </w:t>
      </w:r>
      <w:r w:rsidRPr="00D961B9">
        <w:rPr>
          <w:rFonts w:ascii="Calibri" w:eastAsiaTheme="minorHAnsi" w:hAnsi="Calibri" w:cstheme="minorBidi"/>
          <w:lang w:val="en-GB" w:eastAsia="en-US"/>
        </w:rPr>
        <w:t>779–798.</w:t>
      </w:r>
    </w:p>
    <w:p w14:paraId="312384AD" w14:textId="5E07DC30" w:rsidR="009B46F5" w:rsidRPr="00D961B9" w:rsidRDefault="009B46F5"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en-GB" w:eastAsia="en-US"/>
        </w:rPr>
        <w:t>Ingram, J. C., Dawson</w:t>
      </w:r>
      <w:r w:rsidR="0066030C" w:rsidRPr="00D961B9">
        <w:rPr>
          <w:rFonts w:ascii="Calibri" w:eastAsiaTheme="minorHAnsi" w:hAnsi="Calibri" w:cstheme="minorBidi"/>
          <w:lang w:val="en-GB" w:eastAsia="en-US"/>
        </w:rPr>
        <w:t>, T. P</w:t>
      </w:r>
      <w:r w:rsidRPr="00D961B9">
        <w:rPr>
          <w:rFonts w:ascii="Calibri" w:eastAsiaTheme="minorHAnsi" w:hAnsi="Calibri" w:cstheme="minorBidi"/>
          <w:lang w:val="en-GB" w:eastAsia="en-US"/>
        </w:rPr>
        <w:t>.</w:t>
      </w:r>
      <w:r w:rsidR="0066030C" w:rsidRPr="00D961B9">
        <w:rPr>
          <w:rFonts w:ascii="Calibri" w:eastAsiaTheme="minorHAnsi" w:hAnsi="Calibri" w:cstheme="minorBidi"/>
          <w:lang w:val="en-GB" w:eastAsia="en-US"/>
        </w:rPr>
        <w:t xml:space="preserve">, 2006. Forest </w:t>
      </w:r>
      <w:r w:rsidR="00A31F60" w:rsidRPr="00D961B9">
        <w:rPr>
          <w:rFonts w:ascii="Calibri" w:eastAsiaTheme="minorHAnsi" w:hAnsi="Calibri" w:cstheme="minorBidi"/>
          <w:lang w:val="en-GB" w:eastAsia="en-US"/>
        </w:rPr>
        <w:t>c</w:t>
      </w:r>
      <w:r w:rsidR="0066030C" w:rsidRPr="00D961B9">
        <w:rPr>
          <w:rFonts w:ascii="Calibri" w:eastAsiaTheme="minorHAnsi" w:hAnsi="Calibri" w:cstheme="minorBidi"/>
          <w:lang w:val="en-GB" w:eastAsia="en-US"/>
        </w:rPr>
        <w:t xml:space="preserve">over, </w:t>
      </w:r>
      <w:r w:rsidR="00A31F60" w:rsidRPr="00D961B9">
        <w:rPr>
          <w:rFonts w:ascii="Calibri" w:eastAsiaTheme="minorHAnsi" w:hAnsi="Calibri" w:cstheme="minorBidi"/>
          <w:lang w:val="en-GB" w:eastAsia="en-US"/>
        </w:rPr>
        <w:t>c</w:t>
      </w:r>
      <w:r w:rsidR="0066030C" w:rsidRPr="00D961B9">
        <w:rPr>
          <w:rFonts w:ascii="Calibri" w:eastAsiaTheme="minorHAnsi" w:hAnsi="Calibri" w:cstheme="minorBidi"/>
          <w:lang w:val="en-GB" w:eastAsia="en-US"/>
        </w:rPr>
        <w:t>ondition</w:t>
      </w:r>
      <w:r w:rsidRPr="00D961B9">
        <w:rPr>
          <w:rFonts w:ascii="Calibri" w:eastAsiaTheme="minorHAnsi" w:hAnsi="Calibri" w:cstheme="minorBidi"/>
          <w:lang w:val="en-GB" w:eastAsia="en-US"/>
        </w:rPr>
        <w:t xml:space="preserve">, and </w:t>
      </w:r>
      <w:r w:rsidR="00A31F60" w:rsidRPr="00D961B9">
        <w:rPr>
          <w:rFonts w:ascii="Calibri" w:eastAsiaTheme="minorHAnsi" w:hAnsi="Calibri" w:cstheme="minorBidi"/>
          <w:lang w:val="en-GB" w:eastAsia="en-US"/>
        </w:rPr>
        <w:t>e</w:t>
      </w:r>
      <w:r w:rsidRPr="00D961B9">
        <w:rPr>
          <w:rFonts w:ascii="Calibri" w:eastAsiaTheme="minorHAnsi" w:hAnsi="Calibri" w:cstheme="minorBidi"/>
          <w:lang w:val="en-GB" w:eastAsia="en-US"/>
        </w:rPr>
        <w:t xml:space="preserve">cology in </w:t>
      </w:r>
      <w:r w:rsidR="00A31F60" w:rsidRPr="00D961B9">
        <w:rPr>
          <w:rFonts w:ascii="Calibri" w:eastAsiaTheme="minorHAnsi" w:hAnsi="Calibri" w:cstheme="minorBidi"/>
          <w:lang w:val="en-GB" w:eastAsia="en-US"/>
        </w:rPr>
        <w:t>h</w:t>
      </w:r>
      <w:r w:rsidRPr="00D961B9">
        <w:rPr>
          <w:rFonts w:ascii="Calibri" w:eastAsiaTheme="minorHAnsi" w:hAnsi="Calibri" w:cstheme="minorBidi"/>
          <w:lang w:val="en-GB" w:eastAsia="en-US"/>
        </w:rPr>
        <w:t>uman-</w:t>
      </w:r>
      <w:r w:rsidR="00A31F60" w:rsidRPr="00D961B9">
        <w:rPr>
          <w:rFonts w:ascii="Calibri" w:eastAsiaTheme="minorHAnsi" w:hAnsi="Calibri" w:cstheme="minorBidi"/>
          <w:lang w:val="en-GB" w:eastAsia="en-US"/>
        </w:rPr>
        <w:t>i</w:t>
      </w:r>
      <w:r w:rsidRPr="00D961B9">
        <w:rPr>
          <w:rFonts w:ascii="Calibri" w:eastAsiaTheme="minorHAnsi" w:hAnsi="Calibri" w:cstheme="minorBidi"/>
          <w:lang w:val="en-GB" w:eastAsia="en-US"/>
        </w:rPr>
        <w:t xml:space="preserve">mpacted </w:t>
      </w:r>
      <w:r w:rsidR="00A31F60" w:rsidRPr="00D961B9">
        <w:rPr>
          <w:rFonts w:ascii="Calibri" w:eastAsiaTheme="minorHAnsi" w:hAnsi="Calibri" w:cstheme="minorBidi"/>
          <w:lang w:val="en-GB" w:eastAsia="en-US"/>
        </w:rPr>
        <w:t>f</w:t>
      </w:r>
      <w:r w:rsidRPr="00D961B9">
        <w:rPr>
          <w:rFonts w:ascii="Calibri" w:eastAsiaTheme="minorHAnsi" w:hAnsi="Calibri" w:cstheme="minorBidi"/>
          <w:lang w:val="en-GB" w:eastAsia="en-US"/>
        </w:rPr>
        <w:t>orests , South-Eastern Madagas</w:t>
      </w:r>
      <w:r w:rsidR="0066030C" w:rsidRPr="00D961B9">
        <w:rPr>
          <w:rFonts w:ascii="Calibri" w:eastAsiaTheme="minorHAnsi" w:hAnsi="Calibri" w:cstheme="minorBidi"/>
          <w:lang w:val="en-GB" w:eastAsia="en-US"/>
        </w:rPr>
        <w:t xml:space="preserve">car. Conservation and Society, 4, </w:t>
      </w:r>
      <w:r w:rsidRPr="00D961B9">
        <w:rPr>
          <w:rFonts w:ascii="Calibri" w:eastAsiaTheme="minorHAnsi" w:hAnsi="Calibri" w:cstheme="minorBidi"/>
          <w:lang w:val="en-GB" w:eastAsia="en-US"/>
        </w:rPr>
        <w:t>194–230.</w:t>
      </w:r>
    </w:p>
    <w:p w14:paraId="3AA5A4CF" w14:textId="6E9706A2" w:rsidR="009B46F5" w:rsidRPr="00D961B9" w:rsidRDefault="009B46F5" w:rsidP="009B46F5">
      <w:pPr>
        <w:pStyle w:val="Heading3"/>
        <w:shd w:val="clear" w:color="auto" w:fill="FFFFFF"/>
        <w:spacing w:before="0"/>
        <w:rPr>
          <w:rFonts w:ascii="Calibri" w:eastAsiaTheme="minorHAnsi" w:hAnsi="Calibri" w:cstheme="minorBidi"/>
          <w:b w:val="0"/>
          <w:color w:val="auto"/>
          <w:sz w:val="24"/>
          <w:szCs w:val="24"/>
          <w:lang w:val="en-AU"/>
        </w:rPr>
      </w:pPr>
      <w:r w:rsidRPr="00D961B9">
        <w:rPr>
          <w:rFonts w:ascii="Calibri" w:eastAsiaTheme="minorHAnsi" w:hAnsi="Calibri" w:cstheme="minorBidi"/>
          <w:b w:val="0"/>
          <w:color w:val="auto"/>
          <w:sz w:val="24"/>
          <w:szCs w:val="24"/>
          <w:lang w:val="en-AU"/>
        </w:rPr>
        <w:t xml:space="preserve">Marland, G., Fruit, </w:t>
      </w:r>
      <w:r w:rsidR="0066030C" w:rsidRPr="00D961B9">
        <w:rPr>
          <w:rFonts w:ascii="Calibri" w:eastAsiaTheme="minorHAnsi" w:hAnsi="Calibri" w:cstheme="minorBidi"/>
          <w:b w:val="0"/>
          <w:color w:val="auto"/>
          <w:sz w:val="24"/>
          <w:szCs w:val="24"/>
          <w:lang w:val="en-AU"/>
        </w:rPr>
        <w:t>K.,</w:t>
      </w:r>
      <w:r w:rsidRPr="00D961B9">
        <w:rPr>
          <w:rFonts w:ascii="Calibri" w:eastAsiaTheme="minorHAnsi" w:hAnsi="Calibri" w:cstheme="minorBidi"/>
          <w:b w:val="0"/>
          <w:color w:val="auto"/>
          <w:sz w:val="24"/>
          <w:szCs w:val="24"/>
          <w:lang w:val="en-AU"/>
        </w:rPr>
        <w:t xml:space="preserve"> Sedjo</w:t>
      </w:r>
      <w:r w:rsidR="0066030C" w:rsidRPr="00D961B9">
        <w:rPr>
          <w:rFonts w:ascii="Calibri" w:eastAsiaTheme="minorHAnsi" w:hAnsi="Calibri" w:cstheme="minorBidi"/>
          <w:b w:val="0"/>
          <w:color w:val="auto"/>
          <w:sz w:val="24"/>
          <w:szCs w:val="24"/>
          <w:lang w:val="en-AU"/>
        </w:rPr>
        <w:t>, R.,</w:t>
      </w:r>
      <w:r w:rsidRPr="00D961B9">
        <w:rPr>
          <w:rFonts w:ascii="Calibri" w:eastAsiaTheme="minorHAnsi" w:hAnsi="Calibri" w:cstheme="minorBidi"/>
          <w:b w:val="0"/>
          <w:color w:val="auto"/>
          <w:sz w:val="24"/>
          <w:szCs w:val="24"/>
          <w:lang w:val="en-AU"/>
        </w:rPr>
        <w:t xml:space="preserve"> 2001. Accounting for sequestered carbon: </w:t>
      </w:r>
      <w:r w:rsidR="00A31F60" w:rsidRPr="00D961B9">
        <w:rPr>
          <w:rFonts w:ascii="Calibri" w:eastAsiaTheme="minorHAnsi" w:hAnsi="Calibri" w:cstheme="minorBidi"/>
          <w:b w:val="0"/>
          <w:color w:val="auto"/>
          <w:sz w:val="24"/>
          <w:szCs w:val="24"/>
          <w:lang w:val="en-AU"/>
        </w:rPr>
        <w:t>T</w:t>
      </w:r>
      <w:r w:rsidRPr="00D961B9">
        <w:rPr>
          <w:rFonts w:ascii="Calibri" w:eastAsiaTheme="minorHAnsi" w:hAnsi="Calibri" w:cstheme="minorBidi"/>
          <w:b w:val="0"/>
          <w:color w:val="auto"/>
          <w:sz w:val="24"/>
          <w:szCs w:val="24"/>
          <w:lang w:val="en-AU"/>
        </w:rPr>
        <w:t>he question of permanence. En</w:t>
      </w:r>
      <w:r w:rsidR="0066030C" w:rsidRPr="00D961B9">
        <w:rPr>
          <w:rFonts w:ascii="Calibri" w:eastAsiaTheme="minorHAnsi" w:hAnsi="Calibri" w:cstheme="minorBidi"/>
          <w:b w:val="0"/>
          <w:color w:val="auto"/>
          <w:sz w:val="24"/>
          <w:szCs w:val="24"/>
          <w:lang w:val="en-AU"/>
        </w:rPr>
        <w:t xml:space="preserve">vironmental Science &amp; Policy, 4, </w:t>
      </w:r>
      <w:r w:rsidRPr="00D961B9">
        <w:rPr>
          <w:rFonts w:ascii="Calibri" w:eastAsiaTheme="minorHAnsi" w:hAnsi="Calibri" w:cstheme="minorBidi"/>
          <w:b w:val="0"/>
          <w:color w:val="auto"/>
          <w:sz w:val="24"/>
          <w:szCs w:val="24"/>
          <w:lang w:val="en-AU"/>
        </w:rPr>
        <w:t>259-268</w:t>
      </w:r>
    </w:p>
    <w:p w14:paraId="7FB0695E" w14:textId="77777777" w:rsidR="009B46F5" w:rsidRPr="00D961B9" w:rsidRDefault="009B46F5" w:rsidP="009B46F5">
      <w:pPr>
        <w:spacing w:before="100" w:beforeAutospacing="1" w:after="100" w:afterAutospacing="1"/>
        <w:rPr>
          <w:rFonts w:ascii="Calibri" w:hAnsi="Calibri"/>
          <w:bCs/>
          <w:sz w:val="24"/>
          <w:szCs w:val="24"/>
          <w:lang w:val="en-AU"/>
        </w:rPr>
      </w:pPr>
      <w:r w:rsidRPr="00D961B9">
        <w:rPr>
          <w:rFonts w:ascii="Calibri" w:hAnsi="Calibri"/>
          <w:bCs/>
          <w:sz w:val="24"/>
          <w:szCs w:val="24"/>
        </w:rPr>
        <w:t xml:space="preserve">Maron, M., Dunn, </w:t>
      </w:r>
      <w:r w:rsidR="00EF4F54" w:rsidRPr="00D961B9">
        <w:rPr>
          <w:rFonts w:ascii="Calibri" w:hAnsi="Calibri"/>
          <w:bCs/>
          <w:sz w:val="24"/>
          <w:szCs w:val="24"/>
        </w:rPr>
        <w:t xml:space="preserve">P. K., </w:t>
      </w:r>
      <w:r w:rsidRPr="00D961B9">
        <w:rPr>
          <w:rFonts w:ascii="Calibri" w:hAnsi="Calibri"/>
          <w:bCs/>
          <w:sz w:val="24"/>
          <w:szCs w:val="24"/>
        </w:rPr>
        <w:t xml:space="preserve">McAlpine, </w:t>
      </w:r>
      <w:r w:rsidR="00EF4F54" w:rsidRPr="00D961B9">
        <w:rPr>
          <w:rFonts w:ascii="Calibri" w:hAnsi="Calibri"/>
          <w:bCs/>
          <w:sz w:val="24"/>
          <w:szCs w:val="24"/>
        </w:rPr>
        <w:t xml:space="preserve">C. A., </w:t>
      </w:r>
      <w:r w:rsidRPr="00D961B9">
        <w:rPr>
          <w:rFonts w:ascii="Calibri" w:hAnsi="Calibri"/>
          <w:bCs/>
          <w:sz w:val="24"/>
          <w:szCs w:val="24"/>
        </w:rPr>
        <w:t>Apan</w:t>
      </w:r>
      <w:r w:rsidR="00EF4F54" w:rsidRPr="00D961B9">
        <w:rPr>
          <w:rFonts w:ascii="Calibri" w:hAnsi="Calibri"/>
          <w:bCs/>
          <w:sz w:val="24"/>
          <w:szCs w:val="24"/>
        </w:rPr>
        <w:t>, A.,</w:t>
      </w:r>
      <w:r w:rsidRPr="00D961B9">
        <w:rPr>
          <w:rFonts w:ascii="Calibri" w:hAnsi="Calibri"/>
          <w:bCs/>
          <w:sz w:val="24"/>
          <w:szCs w:val="24"/>
        </w:rPr>
        <w:t xml:space="preserve"> 2010. </w:t>
      </w:r>
      <w:r w:rsidRPr="00D961B9">
        <w:rPr>
          <w:rFonts w:ascii="Calibri" w:hAnsi="Calibri"/>
          <w:bCs/>
          <w:sz w:val="24"/>
          <w:szCs w:val="24"/>
          <w:lang w:val="en-AU"/>
        </w:rPr>
        <w:t>Can offsets really compensate for habitat removal? The case of the endangered red-tailed black-cockatoo</w:t>
      </w:r>
      <w:r w:rsidR="00EF4F54" w:rsidRPr="00D961B9">
        <w:rPr>
          <w:rFonts w:ascii="Calibri" w:hAnsi="Calibri"/>
          <w:bCs/>
          <w:sz w:val="24"/>
          <w:szCs w:val="24"/>
          <w:lang w:val="en-AU"/>
        </w:rPr>
        <w:t>. Journal of Applied Ecology</w:t>
      </w:r>
      <w:r w:rsidR="00A31F60" w:rsidRPr="00D961B9">
        <w:rPr>
          <w:rFonts w:ascii="Calibri" w:hAnsi="Calibri"/>
          <w:bCs/>
          <w:sz w:val="24"/>
          <w:szCs w:val="24"/>
          <w:lang w:val="en-AU"/>
        </w:rPr>
        <w:t>,</w:t>
      </w:r>
      <w:r w:rsidR="00EF4F54" w:rsidRPr="00D961B9">
        <w:rPr>
          <w:rFonts w:ascii="Calibri" w:hAnsi="Calibri"/>
          <w:bCs/>
          <w:sz w:val="24"/>
          <w:szCs w:val="24"/>
          <w:lang w:val="en-AU"/>
        </w:rPr>
        <w:t xml:space="preserve"> 47, </w:t>
      </w:r>
      <w:r w:rsidRPr="00D961B9">
        <w:rPr>
          <w:rFonts w:ascii="Calibri" w:hAnsi="Calibri"/>
          <w:bCs/>
          <w:sz w:val="24"/>
          <w:szCs w:val="24"/>
          <w:lang w:val="en-AU"/>
        </w:rPr>
        <w:t xml:space="preserve">348–355. </w:t>
      </w:r>
    </w:p>
    <w:p w14:paraId="2DC748FD" w14:textId="4E47EA48"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bCs/>
          <w:sz w:val="24"/>
          <w:szCs w:val="24"/>
          <w:lang w:val="de-DE"/>
        </w:rPr>
        <w:t>McKenney, B. A</w:t>
      </w:r>
      <w:r w:rsidR="00EF4F54" w:rsidRPr="00D961B9">
        <w:rPr>
          <w:rFonts w:ascii="Calibri" w:hAnsi="Calibri"/>
          <w:bCs/>
          <w:sz w:val="24"/>
          <w:szCs w:val="24"/>
          <w:lang w:val="de-DE"/>
        </w:rPr>
        <w:t>.</w:t>
      </w:r>
      <w:r w:rsidRPr="00D961B9">
        <w:rPr>
          <w:rFonts w:ascii="Calibri" w:hAnsi="Calibri"/>
          <w:bCs/>
          <w:sz w:val="24"/>
          <w:szCs w:val="24"/>
          <w:lang w:val="de-DE"/>
        </w:rPr>
        <w:t>, Kiesecker</w:t>
      </w:r>
      <w:r w:rsidR="00EF4F54" w:rsidRPr="00D961B9">
        <w:rPr>
          <w:rFonts w:ascii="Calibri" w:hAnsi="Calibri"/>
          <w:bCs/>
          <w:sz w:val="24"/>
          <w:szCs w:val="24"/>
          <w:lang w:val="de-DE"/>
        </w:rPr>
        <w:t>, J. M</w:t>
      </w:r>
      <w:r w:rsidRPr="00D961B9">
        <w:rPr>
          <w:rFonts w:ascii="Calibri" w:hAnsi="Calibri"/>
          <w:bCs/>
          <w:sz w:val="24"/>
          <w:szCs w:val="24"/>
          <w:lang w:val="de-DE"/>
        </w:rPr>
        <w:t>.</w:t>
      </w:r>
      <w:r w:rsidR="00EF4F54" w:rsidRPr="00D961B9">
        <w:rPr>
          <w:rFonts w:ascii="Calibri" w:hAnsi="Calibri"/>
          <w:bCs/>
          <w:sz w:val="24"/>
          <w:szCs w:val="24"/>
          <w:lang w:val="de-DE"/>
        </w:rPr>
        <w:t>,</w:t>
      </w:r>
      <w:r w:rsidRPr="00D961B9">
        <w:rPr>
          <w:rFonts w:ascii="Calibri" w:hAnsi="Calibri"/>
          <w:bCs/>
          <w:sz w:val="24"/>
          <w:szCs w:val="24"/>
          <w:lang w:val="de-DE"/>
        </w:rPr>
        <w:t xml:space="preserve"> 2010. </w:t>
      </w:r>
      <w:r w:rsidRPr="00D961B9">
        <w:rPr>
          <w:rFonts w:ascii="Calibri" w:hAnsi="Calibri"/>
          <w:bCs/>
          <w:sz w:val="24"/>
          <w:szCs w:val="24"/>
          <w:lang w:val="en-AU"/>
        </w:rPr>
        <w:t xml:space="preserve">Policy development for biodiversity offsets: </w:t>
      </w:r>
      <w:r w:rsidR="00A31F60" w:rsidRPr="00D961B9">
        <w:rPr>
          <w:rFonts w:ascii="Calibri" w:hAnsi="Calibri"/>
          <w:bCs/>
          <w:sz w:val="24"/>
          <w:szCs w:val="24"/>
          <w:lang w:val="en-AU"/>
        </w:rPr>
        <w:t>A</w:t>
      </w:r>
      <w:r w:rsidRPr="00D961B9">
        <w:rPr>
          <w:rFonts w:ascii="Calibri" w:hAnsi="Calibri"/>
          <w:bCs/>
          <w:sz w:val="24"/>
          <w:szCs w:val="24"/>
          <w:lang w:val="en-AU"/>
        </w:rPr>
        <w:t xml:space="preserve"> review of offset frameworks. Environmental </w:t>
      </w:r>
      <w:r w:rsidR="00A31F60" w:rsidRPr="00D961B9">
        <w:rPr>
          <w:rFonts w:ascii="Calibri" w:hAnsi="Calibri"/>
          <w:bCs/>
          <w:sz w:val="24"/>
          <w:szCs w:val="24"/>
          <w:lang w:val="en-AU"/>
        </w:rPr>
        <w:t>M</w:t>
      </w:r>
      <w:r w:rsidRPr="00D961B9">
        <w:rPr>
          <w:rFonts w:ascii="Calibri" w:hAnsi="Calibri"/>
          <w:bCs/>
          <w:sz w:val="24"/>
          <w:szCs w:val="24"/>
          <w:lang w:val="en-AU"/>
        </w:rPr>
        <w:t>anagement</w:t>
      </w:r>
      <w:r w:rsidR="00EF4F54" w:rsidRPr="00D961B9">
        <w:rPr>
          <w:rFonts w:ascii="Calibri" w:hAnsi="Calibri"/>
          <w:bCs/>
          <w:sz w:val="24"/>
          <w:szCs w:val="24"/>
          <w:lang w:val="en-AU"/>
        </w:rPr>
        <w:t>,</w:t>
      </w:r>
      <w:r w:rsidR="00EF4F54" w:rsidRPr="00D961B9">
        <w:rPr>
          <w:rFonts w:ascii="Calibri" w:hAnsi="Calibri"/>
          <w:sz w:val="24"/>
          <w:szCs w:val="24"/>
          <w:lang w:val="en-GB"/>
        </w:rPr>
        <w:t xml:space="preserve"> 45,</w:t>
      </w:r>
      <w:r w:rsidR="00A31F60" w:rsidRPr="00D961B9">
        <w:rPr>
          <w:rFonts w:ascii="Calibri" w:hAnsi="Calibri"/>
          <w:sz w:val="24"/>
          <w:szCs w:val="24"/>
          <w:lang w:val="en-GB"/>
        </w:rPr>
        <w:t xml:space="preserve"> </w:t>
      </w:r>
      <w:r w:rsidRPr="00D961B9">
        <w:rPr>
          <w:rFonts w:ascii="Calibri" w:hAnsi="Calibri"/>
          <w:sz w:val="24"/>
          <w:szCs w:val="24"/>
          <w:lang w:val="en-GB"/>
        </w:rPr>
        <w:t>165–76</w:t>
      </w:r>
      <w:r w:rsidR="00EF4F54" w:rsidRPr="00D961B9">
        <w:rPr>
          <w:rFonts w:ascii="Calibri" w:hAnsi="Calibri"/>
          <w:sz w:val="24"/>
          <w:szCs w:val="24"/>
          <w:lang w:val="en-GB"/>
        </w:rPr>
        <w:t>.</w:t>
      </w:r>
    </w:p>
    <w:p w14:paraId="5147E5E7" w14:textId="77777777" w:rsidR="009B46F5" w:rsidRPr="00D961B9" w:rsidRDefault="009B46F5" w:rsidP="009B46F5">
      <w:pPr>
        <w:pStyle w:val="NormalWeb"/>
        <w:rPr>
          <w:rFonts w:ascii="Calibri" w:eastAsiaTheme="minorHAnsi" w:hAnsi="Calibri" w:cstheme="minorBidi"/>
          <w:lang w:val="en-GB" w:eastAsia="en-US"/>
        </w:rPr>
      </w:pPr>
      <w:r w:rsidRPr="00D961B9">
        <w:rPr>
          <w:rFonts w:ascii="Calibri" w:eastAsiaTheme="minorHAnsi" w:hAnsi="Calibri" w:cstheme="minorBidi"/>
          <w:lang w:val="en-GB" w:eastAsia="en-US"/>
        </w:rPr>
        <w:t xml:space="preserve">Newmont Golden Ridge Limited. 2009. BBOP Pilot Project Case Study. Akyem Gold Mining Project, Eastern Region, Ghana. Accra, Ghana. </w:t>
      </w:r>
    </w:p>
    <w:p w14:paraId="4E4BC082" w14:textId="77777777" w:rsidR="009B46F5" w:rsidRPr="00D961B9" w:rsidRDefault="00EF4F54"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 xml:space="preserve">Olander, J., Ebeling, J., </w:t>
      </w:r>
      <w:r w:rsidR="009B46F5" w:rsidRPr="00D961B9">
        <w:rPr>
          <w:rFonts w:ascii="Calibri" w:hAnsi="Calibri"/>
          <w:sz w:val="24"/>
          <w:szCs w:val="24"/>
          <w:lang w:val="en-GB"/>
        </w:rPr>
        <w:t xml:space="preserve">2011. Building Forest Carbon Projects: Step-by-Step Overview and Guide. </w:t>
      </w:r>
      <w:r w:rsidRPr="00D961B9">
        <w:rPr>
          <w:rFonts w:ascii="Calibri" w:hAnsi="Calibri"/>
          <w:sz w:val="24"/>
          <w:szCs w:val="24"/>
          <w:lang w:val="en-GB"/>
        </w:rPr>
        <w:t xml:space="preserve">In: </w:t>
      </w:r>
      <w:r w:rsidR="009B46F5" w:rsidRPr="00D961B9">
        <w:rPr>
          <w:rFonts w:ascii="Calibri" w:hAnsi="Calibri"/>
          <w:sz w:val="24"/>
          <w:szCs w:val="24"/>
          <w:lang w:val="en-GB"/>
        </w:rPr>
        <w:t xml:space="preserve"> Ebeling </w:t>
      </w:r>
      <w:r w:rsidRPr="00D961B9">
        <w:rPr>
          <w:rFonts w:ascii="Calibri" w:hAnsi="Calibri"/>
          <w:sz w:val="24"/>
          <w:szCs w:val="24"/>
          <w:lang w:val="en-GB"/>
        </w:rPr>
        <w:t xml:space="preserve">J., </w:t>
      </w:r>
      <w:r w:rsidR="009B46F5" w:rsidRPr="00D961B9">
        <w:rPr>
          <w:rFonts w:ascii="Calibri" w:hAnsi="Calibri"/>
          <w:sz w:val="24"/>
          <w:szCs w:val="24"/>
          <w:lang w:val="en-GB"/>
        </w:rPr>
        <w:t>Olander,</w:t>
      </w:r>
      <w:r w:rsidRPr="00D961B9">
        <w:rPr>
          <w:rFonts w:ascii="Calibri" w:hAnsi="Calibri"/>
          <w:sz w:val="24"/>
          <w:szCs w:val="24"/>
          <w:lang w:val="en-GB"/>
        </w:rPr>
        <w:t xml:space="preserve"> J. (Eds), B</w:t>
      </w:r>
      <w:r w:rsidR="009B46F5" w:rsidRPr="00D961B9">
        <w:rPr>
          <w:rFonts w:ascii="Calibri" w:hAnsi="Calibri"/>
          <w:sz w:val="24"/>
          <w:szCs w:val="24"/>
          <w:lang w:val="en-GB"/>
        </w:rPr>
        <w:t xml:space="preserve">uilding Forest Carbon Projects. Forest Trends, Washington, DC. </w:t>
      </w:r>
      <w:r w:rsidRPr="00D961B9">
        <w:rPr>
          <w:rFonts w:ascii="Calibri" w:hAnsi="Calibri"/>
          <w:sz w:val="24"/>
          <w:szCs w:val="24"/>
          <w:lang w:val="en-GB"/>
        </w:rPr>
        <w:t>pp 1-42.</w:t>
      </w:r>
    </w:p>
    <w:p w14:paraId="4B252327" w14:textId="3328E9C2"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 xml:space="preserve">Rio Tinto. 2008. Rio Tinto and </w:t>
      </w:r>
      <w:r w:rsidR="00A31F60" w:rsidRPr="00D961B9">
        <w:rPr>
          <w:rFonts w:ascii="Calibri" w:hAnsi="Calibri"/>
          <w:sz w:val="24"/>
          <w:szCs w:val="24"/>
          <w:lang w:val="en-GB"/>
        </w:rPr>
        <w:t>B</w:t>
      </w:r>
      <w:r w:rsidRPr="00D961B9">
        <w:rPr>
          <w:rFonts w:ascii="Calibri" w:hAnsi="Calibri"/>
          <w:sz w:val="24"/>
          <w:szCs w:val="24"/>
          <w:lang w:val="en-GB"/>
        </w:rPr>
        <w:t xml:space="preserve">iodiversity. Achieving </w:t>
      </w:r>
      <w:r w:rsidR="00A31F60" w:rsidRPr="00D961B9">
        <w:rPr>
          <w:rFonts w:ascii="Calibri" w:hAnsi="Calibri"/>
          <w:sz w:val="24"/>
          <w:szCs w:val="24"/>
          <w:lang w:val="en-GB"/>
        </w:rPr>
        <w:t>R</w:t>
      </w:r>
      <w:r w:rsidRPr="00D961B9">
        <w:rPr>
          <w:rFonts w:ascii="Calibri" w:hAnsi="Calibri"/>
          <w:sz w:val="24"/>
          <w:szCs w:val="24"/>
          <w:lang w:val="en-GB"/>
        </w:rPr>
        <w:t xml:space="preserve">esults on the </w:t>
      </w:r>
      <w:r w:rsidR="00A31F60" w:rsidRPr="00D961B9">
        <w:rPr>
          <w:rFonts w:ascii="Calibri" w:hAnsi="Calibri"/>
          <w:sz w:val="24"/>
          <w:szCs w:val="24"/>
          <w:lang w:val="en-GB"/>
        </w:rPr>
        <w:t>G</w:t>
      </w:r>
      <w:r w:rsidRPr="00D961B9">
        <w:rPr>
          <w:rFonts w:ascii="Calibri" w:hAnsi="Calibri"/>
          <w:sz w:val="24"/>
          <w:szCs w:val="24"/>
          <w:lang w:val="en-GB"/>
        </w:rPr>
        <w:t>round. London, United Kingdom and Melbourne, Australia.</w:t>
      </w:r>
    </w:p>
    <w:p w14:paraId="6AC26688" w14:textId="439C9536" w:rsidR="009B46F5" w:rsidRPr="00D961B9" w:rsidRDefault="009B46F5" w:rsidP="009B46F5">
      <w:pPr>
        <w:spacing w:before="100" w:beforeAutospacing="1" w:after="100" w:afterAutospacing="1" w:line="240" w:lineRule="auto"/>
        <w:rPr>
          <w:rFonts w:ascii="Calibri" w:hAnsi="Calibri"/>
          <w:sz w:val="24"/>
          <w:szCs w:val="24"/>
          <w:lang w:val="en-GB"/>
        </w:rPr>
      </w:pPr>
      <w:r w:rsidRPr="00D961B9">
        <w:rPr>
          <w:rFonts w:ascii="Calibri" w:hAnsi="Calibri"/>
          <w:sz w:val="24"/>
          <w:szCs w:val="24"/>
          <w:lang w:val="en-GB"/>
        </w:rPr>
        <w:t xml:space="preserve">The Royal Society. 2003. Measuring </w:t>
      </w:r>
      <w:r w:rsidR="00A31F60" w:rsidRPr="00D961B9">
        <w:rPr>
          <w:rFonts w:ascii="Calibri" w:hAnsi="Calibri"/>
          <w:sz w:val="24"/>
          <w:szCs w:val="24"/>
          <w:lang w:val="en-GB"/>
        </w:rPr>
        <w:t>B</w:t>
      </w:r>
      <w:r w:rsidRPr="00D961B9">
        <w:rPr>
          <w:rFonts w:ascii="Calibri" w:hAnsi="Calibri"/>
          <w:sz w:val="24"/>
          <w:szCs w:val="24"/>
          <w:lang w:val="en-GB"/>
        </w:rPr>
        <w:t>iodiversity. Prepared by the Royal Society working group on measuring biodiversity for conservation</w:t>
      </w:r>
      <w:r w:rsidR="00EF4F54" w:rsidRPr="00D961B9">
        <w:rPr>
          <w:rFonts w:ascii="Calibri" w:hAnsi="Calibri"/>
          <w:sz w:val="24"/>
          <w:szCs w:val="24"/>
          <w:lang w:val="en-GB"/>
        </w:rPr>
        <w:t>. The Royal Society, London, UK.</w:t>
      </w:r>
    </w:p>
    <w:p w14:paraId="3EE467AB" w14:textId="69151B5F"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 xml:space="preserve">Rabenantoandro, J., Randriatafika, </w:t>
      </w:r>
      <w:r w:rsidR="00EF4F54" w:rsidRPr="00D961B9">
        <w:rPr>
          <w:rFonts w:ascii="Calibri" w:hAnsi="Calibri"/>
          <w:sz w:val="24"/>
          <w:szCs w:val="24"/>
          <w:lang w:val="en-GB"/>
        </w:rPr>
        <w:t xml:space="preserve">F., </w:t>
      </w:r>
      <w:r w:rsidR="00C439D5" w:rsidRPr="00D961B9">
        <w:rPr>
          <w:rFonts w:ascii="Calibri" w:hAnsi="Calibri"/>
          <w:sz w:val="24"/>
          <w:szCs w:val="24"/>
          <w:lang w:val="en-GB"/>
        </w:rPr>
        <w:t>Lowry</w:t>
      </w:r>
      <w:r w:rsidR="00EF4F54" w:rsidRPr="00D961B9">
        <w:rPr>
          <w:rFonts w:ascii="Calibri" w:hAnsi="Calibri"/>
          <w:sz w:val="24"/>
          <w:szCs w:val="24"/>
          <w:lang w:val="en-GB"/>
        </w:rPr>
        <w:t xml:space="preserve">, P. P., </w:t>
      </w:r>
      <w:r w:rsidRPr="00D961B9">
        <w:rPr>
          <w:rFonts w:ascii="Calibri" w:hAnsi="Calibri"/>
          <w:sz w:val="24"/>
          <w:szCs w:val="24"/>
          <w:lang w:val="en-GB"/>
        </w:rPr>
        <w:t xml:space="preserve">2007. Floristic and Structural Characteristics of Remnant Littoral Forest Sites in the Tolagnaro Area. </w:t>
      </w:r>
      <w:r w:rsidR="00EF4F54" w:rsidRPr="00D961B9">
        <w:rPr>
          <w:rFonts w:ascii="Calibri" w:hAnsi="Calibri"/>
          <w:sz w:val="24"/>
          <w:szCs w:val="24"/>
          <w:lang w:val="en-GB"/>
        </w:rPr>
        <w:t>In:</w:t>
      </w:r>
      <w:r w:rsidRPr="00D961B9">
        <w:rPr>
          <w:rFonts w:ascii="Calibri" w:hAnsi="Calibri"/>
          <w:sz w:val="24"/>
          <w:szCs w:val="24"/>
          <w:lang w:val="en-GB"/>
        </w:rPr>
        <w:t xml:space="preserve"> Ganzhorn, </w:t>
      </w:r>
      <w:r w:rsidR="00EF4F54" w:rsidRPr="00D961B9">
        <w:rPr>
          <w:rFonts w:ascii="Calibri" w:hAnsi="Calibri"/>
          <w:sz w:val="24"/>
          <w:szCs w:val="24"/>
          <w:lang w:val="en-GB"/>
        </w:rPr>
        <w:t>J.,</w:t>
      </w:r>
      <w:r w:rsidRPr="00D961B9">
        <w:rPr>
          <w:rFonts w:ascii="Calibri" w:hAnsi="Calibri"/>
          <w:sz w:val="24"/>
          <w:szCs w:val="24"/>
          <w:lang w:val="en-GB"/>
        </w:rPr>
        <w:t xml:space="preserve"> Goodman, </w:t>
      </w:r>
      <w:r w:rsidR="00EF4F54" w:rsidRPr="00D961B9">
        <w:rPr>
          <w:rFonts w:ascii="Calibri" w:hAnsi="Calibri"/>
          <w:sz w:val="24"/>
          <w:szCs w:val="24"/>
          <w:lang w:val="en-GB"/>
        </w:rPr>
        <w:t xml:space="preserve">S., </w:t>
      </w:r>
      <w:r w:rsidRPr="00D961B9">
        <w:rPr>
          <w:rFonts w:ascii="Calibri" w:hAnsi="Calibri"/>
          <w:sz w:val="24"/>
          <w:szCs w:val="24"/>
          <w:lang w:val="en-GB"/>
        </w:rPr>
        <w:t>Vincelette, </w:t>
      </w:r>
      <w:r w:rsidR="00EF4F54" w:rsidRPr="00D961B9">
        <w:rPr>
          <w:rFonts w:ascii="Calibri" w:hAnsi="Calibri"/>
          <w:sz w:val="24"/>
          <w:szCs w:val="24"/>
          <w:lang w:val="en-GB"/>
        </w:rPr>
        <w:t>M. (Eds),</w:t>
      </w:r>
      <w:r w:rsidRPr="00D961B9">
        <w:rPr>
          <w:rFonts w:ascii="Calibri" w:hAnsi="Calibri"/>
          <w:sz w:val="24"/>
          <w:szCs w:val="24"/>
          <w:lang w:val="en-GB"/>
        </w:rPr>
        <w:t xml:space="preserve"> Biodiversity, Ecology and Conservation of Littoral Ecosystems in </w:t>
      </w:r>
      <w:r w:rsidR="00A31F60" w:rsidRPr="00D961B9">
        <w:rPr>
          <w:rFonts w:ascii="Calibri" w:hAnsi="Calibri"/>
          <w:sz w:val="24"/>
          <w:szCs w:val="24"/>
          <w:lang w:val="en-GB"/>
        </w:rPr>
        <w:t>s</w:t>
      </w:r>
      <w:r w:rsidRPr="00D961B9">
        <w:rPr>
          <w:rFonts w:ascii="Calibri" w:hAnsi="Calibri"/>
          <w:sz w:val="24"/>
          <w:szCs w:val="24"/>
          <w:lang w:val="en-GB"/>
        </w:rPr>
        <w:t>out</w:t>
      </w:r>
      <w:r w:rsidR="00EF4F54" w:rsidRPr="00D961B9">
        <w:rPr>
          <w:rFonts w:ascii="Calibri" w:hAnsi="Calibri"/>
          <w:sz w:val="24"/>
          <w:szCs w:val="24"/>
          <w:lang w:val="en-GB"/>
        </w:rPr>
        <w:t xml:space="preserve">heastern Madagascar, Tolagnaro, pp. 65–94.  </w:t>
      </w:r>
    </w:p>
    <w:p w14:paraId="5B69D30D" w14:textId="77777777" w:rsidR="0066030C" w:rsidRPr="00D961B9" w:rsidRDefault="0066030C"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Scholes</w:t>
      </w:r>
      <w:r w:rsidR="007A4C9B" w:rsidRPr="00D961B9">
        <w:rPr>
          <w:rFonts w:ascii="Calibri" w:hAnsi="Calibri"/>
          <w:sz w:val="24"/>
          <w:szCs w:val="24"/>
          <w:lang w:val="en-GB"/>
        </w:rPr>
        <w:t>, R. J.,</w:t>
      </w:r>
      <w:r w:rsidRPr="00D961B9">
        <w:rPr>
          <w:rFonts w:ascii="Calibri" w:hAnsi="Calibri"/>
          <w:sz w:val="24"/>
          <w:szCs w:val="24"/>
          <w:lang w:val="en-GB"/>
        </w:rPr>
        <w:t xml:space="preserve"> Biggs,</w:t>
      </w:r>
      <w:r w:rsidR="007A4C9B" w:rsidRPr="00D961B9">
        <w:rPr>
          <w:rFonts w:ascii="Calibri" w:hAnsi="Calibri"/>
          <w:sz w:val="24"/>
          <w:szCs w:val="24"/>
          <w:lang w:val="en-GB"/>
        </w:rPr>
        <w:t xml:space="preserve"> R. 2005. A biodiversity intactness index. Nature, 434, 45-49. </w:t>
      </w:r>
    </w:p>
    <w:p w14:paraId="05D281F4" w14:textId="14EA4804"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sz w:val="24"/>
          <w:szCs w:val="24"/>
          <w:lang w:val="de-DE"/>
        </w:rPr>
        <w:t xml:space="preserve">Temple, H. J., Anstee, </w:t>
      </w:r>
      <w:r w:rsidR="0066030C" w:rsidRPr="00D961B9">
        <w:rPr>
          <w:rFonts w:ascii="Calibri" w:hAnsi="Calibri"/>
          <w:sz w:val="24"/>
          <w:szCs w:val="24"/>
          <w:lang w:val="de-DE"/>
        </w:rPr>
        <w:t xml:space="preserve">S., </w:t>
      </w:r>
      <w:r w:rsidRPr="00D961B9">
        <w:rPr>
          <w:rFonts w:ascii="Calibri" w:hAnsi="Calibri"/>
          <w:sz w:val="24"/>
          <w:szCs w:val="24"/>
          <w:lang w:val="de-DE"/>
        </w:rPr>
        <w:t xml:space="preserve">Ekstrom, </w:t>
      </w:r>
      <w:r w:rsidR="0066030C" w:rsidRPr="00D961B9">
        <w:rPr>
          <w:rFonts w:ascii="Calibri" w:hAnsi="Calibri"/>
          <w:sz w:val="24"/>
          <w:szCs w:val="24"/>
          <w:lang w:val="de-DE"/>
        </w:rPr>
        <w:t>J.,</w:t>
      </w:r>
      <w:r w:rsidRPr="00D961B9">
        <w:rPr>
          <w:rFonts w:ascii="Calibri" w:hAnsi="Calibri"/>
          <w:sz w:val="24"/>
          <w:szCs w:val="24"/>
          <w:lang w:val="de-DE"/>
        </w:rPr>
        <w:t xml:space="preserve"> Pilgrim, </w:t>
      </w:r>
      <w:r w:rsidR="0066030C" w:rsidRPr="00D961B9">
        <w:rPr>
          <w:rFonts w:ascii="Calibri" w:hAnsi="Calibri"/>
          <w:sz w:val="24"/>
          <w:szCs w:val="24"/>
          <w:lang w:val="de-DE"/>
        </w:rPr>
        <w:t xml:space="preserve">J., </w:t>
      </w:r>
      <w:r w:rsidRPr="00D961B9">
        <w:rPr>
          <w:rFonts w:ascii="Calibri" w:hAnsi="Calibri"/>
          <w:sz w:val="24"/>
          <w:szCs w:val="24"/>
          <w:lang w:val="de-DE"/>
        </w:rPr>
        <w:t xml:space="preserve">Rabenantoandro, </w:t>
      </w:r>
      <w:r w:rsidR="0066030C" w:rsidRPr="00D961B9">
        <w:rPr>
          <w:rFonts w:ascii="Calibri" w:hAnsi="Calibri"/>
          <w:sz w:val="24"/>
          <w:szCs w:val="24"/>
          <w:lang w:val="de-DE"/>
        </w:rPr>
        <w:t>D. J., Randriatafika, F.,</w:t>
      </w:r>
      <w:r w:rsidRPr="00D961B9">
        <w:rPr>
          <w:rFonts w:ascii="Calibri" w:hAnsi="Calibri"/>
          <w:sz w:val="24"/>
          <w:szCs w:val="24"/>
          <w:lang w:val="de-DE"/>
        </w:rPr>
        <w:t xml:space="preserve"> 2012. </w:t>
      </w:r>
      <w:r w:rsidRPr="00D961B9">
        <w:rPr>
          <w:rFonts w:ascii="Calibri" w:hAnsi="Calibri"/>
          <w:sz w:val="24"/>
          <w:szCs w:val="24"/>
          <w:lang w:val="en-GB"/>
        </w:rPr>
        <w:t xml:space="preserve">Forecasting the </w:t>
      </w:r>
      <w:r w:rsidR="00A31F60" w:rsidRPr="00D961B9">
        <w:rPr>
          <w:rFonts w:ascii="Calibri" w:hAnsi="Calibri"/>
          <w:sz w:val="24"/>
          <w:szCs w:val="24"/>
          <w:lang w:val="en-GB"/>
        </w:rPr>
        <w:t>P</w:t>
      </w:r>
      <w:r w:rsidRPr="00D961B9">
        <w:rPr>
          <w:rFonts w:ascii="Calibri" w:hAnsi="Calibri"/>
          <w:sz w:val="24"/>
          <w:szCs w:val="24"/>
          <w:lang w:val="en-GB"/>
        </w:rPr>
        <w:t xml:space="preserve">ath towards a Net Positive Impact on </w:t>
      </w:r>
      <w:r w:rsidR="00A31F60" w:rsidRPr="00D961B9">
        <w:rPr>
          <w:rFonts w:ascii="Calibri" w:hAnsi="Calibri"/>
          <w:sz w:val="24"/>
          <w:szCs w:val="24"/>
          <w:lang w:val="en-GB"/>
        </w:rPr>
        <w:t>B</w:t>
      </w:r>
      <w:r w:rsidRPr="00D961B9">
        <w:rPr>
          <w:rFonts w:ascii="Calibri" w:hAnsi="Calibri"/>
          <w:sz w:val="24"/>
          <w:szCs w:val="24"/>
          <w:lang w:val="en-GB"/>
        </w:rPr>
        <w:t>iodiversity for Rio Tinto</w:t>
      </w:r>
      <w:r w:rsidR="00A31F60" w:rsidRPr="00D961B9">
        <w:rPr>
          <w:rFonts w:ascii="Calibri" w:hAnsi="Calibri"/>
          <w:sz w:val="24"/>
          <w:szCs w:val="24"/>
          <w:lang w:val="en-GB"/>
        </w:rPr>
        <w:t>-</w:t>
      </w:r>
      <w:r w:rsidRPr="00D961B9">
        <w:rPr>
          <w:rFonts w:ascii="Calibri" w:hAnsi="Calibri"/>
          <w:sz w:val="24"/>
          <w:szCs w:val="24"/>
          <w:lang w:val="en-GB"/>
        </w:rPr>
        <w:t>QMM. IUCN and Rio Tinto Technical Series</w:t>
      </w:r>
      <w:r w:rsidR="00EF4F54" w:rsidRPr="00D961B9">
        <w:rPr>
          <w:rFonts w:ascii="Calibri" w:hAnsi="Calibri"/>
          <w:sz w:val="24"/>
          <w:szCs w:val="24"/>
          <w:lang w:val="en-GB"/>
        </w:rPr>
        <w:t>,</w:t>
      </w:r>
      <w:r w:rsidRPr="00D961B9">
        <w:rPr>
          <w:rFonts w:ascii="Calibri" w:hAnsi="Calibri"/>
          <w:sz w:val="24"/>
          <w:szCs w:val="24"/>
          <w:lang w:val="en-GB"/>
        </w:rPr>
        <w:t xml:space="preserve"> </w:t>
      </w:r>
      <w:r w:rsidR="00EF4F54" w:rsidRPr="00D961B9">
        <w:rPr>
          <w:rFonts w:ascii="Calibri" w:hAnsi="Calibri"/>
          <w:sz w:val="24"/>
          <w:szCs w:val="24"/>
          <w:lang w:val="en-GB"/>
        </w:rPr>
        <w:t>2, 1-77</w:t>
      </w:r>
      <w:r w:rsidR="00C439D5" w:rsidRPr="00D961B9">
        <w:rPr>
          <w:rFonts w:ascii="Calibri" w:hAnsi="Calibri"/>
          <w:sz w:val="24"/>
          <w:szCs w:val="24"/>
          <w:lang w:val="en-GB"/>
        </w:rPr>
        <w:t>.</w:t>
      </w:r>
    </w:p>
    <w:p w14:paraId="77D01427" w14:textId="77777777"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lastRenderedPageBreak/>
        <w:t>The Ambatovy Project. 2009. BBOP Pilot Project Case Study - The Ambatovy Project. Business and Biodiversity Offsets Programme (BBOP), Washington, D.C</w:t>
      </w:r>
    </w:p>
    <w:p w14:paraId="04A203F3" w14:textId="7B4E12F1" w:rsidR="005D06CF" w:rsidRPr="00D961B9" w:rsidRDefault="00D961B9"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Voluntary</w:t>
      </w:r>
      <w:r w:rsidR="005D06CF" w:rsidRPr="00D961B9">
        <w:rPr>
          <w:rFonts w:ascii="Calibri" w:hAnsi="Calibri"/>
          <w:sz w:val="24"/>
          <w:szCs w:val="24"/>
          <w:lang w:val="en-GB"/>
        </w:rPr>
        <w:t xml:space="preserve"> Carbon Standard. 2013. </w:t>
      </w:r>
      <w:hyperlink r:id="rId7" w:history="1">
        <w:r w:rsidR="005D06CF" w:rsidRPr="00D961B9">
          <w:rPr>
            <w:rFonts w:ascii="Calibri" w:hAnsi="Calibri"/>
            <w:sz w:val="24"/>
            <w:szCs w:val="24"/>
            <w:lang w:val="en-GB"/>
          </w:rPr>
          <w:t>http://www.v-c-s.org/</w:t>
        </w:r>
      </w:hyperlink>
      <w:r w:rsidR="00EF4F54" w:rsidRPr="00D961B9">
        <w:rPr>
          <w:rFonts w:ascii="Calibri" w:hAnsi="Calibri"/>
          <w:sz w:val="24"/>
          <w:szCs w:val="24"/>
          <w:lang w:val="en-GB"/>
        </w:rPr>
        <w:t>. L</w:t>
      </w:r>
      <w:r w:rsidR="005D06CF" w:rsidRPr="00D961B9">
        <w:rPr>
          <w:rFonts w:ascii="Calibri" w:hAnsi="Calibri"/>
          <w:sz w:val="24"/>
          <w:szCs w:val="24"/>
          <w:lang w:val="en-GB"/>
        </w:rPr>
        <w:t>ast visited on the 15/11/13</w:t>
      </w:r>
    </w:p>
    <w:p w14:paraId="567E246B" w14:textId="077B1131"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sz w:val="24"/>
          <w:szCs w:val="24"/>
        </w:rPr>
        <w:t xml:space="preserve">Vieilledent, G., Grinand, </w:t>
      </w:r>
      <w:r w:rsidR="0066030C" w:rsidRPr="00D961B9">
        <w:rPr>
          <w:rFonts w:ascii="Calibri" w:hAnsi="Calibri"/>
          <w:sz w:val="24"/>
          <w:szCs w:val="24"/>
        </w:rPr>
        <w:t>C.,</w:t>
      </w:r>
      <w:r w:rsidRPr="00D961B9">
        <w:rPr>
          <w:rFonts w:ascii="Calibri" w:hAnsi="Calibri"/>
          <w:sz w:val="24"/>
          <w:szCs w:val="24"/>
        </w:rPr>
        <w:t xml:space="preserve"> Vaudry</w:t>
      </w:r>
      <w:r w:rsidR="0066030C" w:rsidRPr="00D961B9">
        <w:rPr>
          <w:rFonts w:ascii="Calibri" w:hAnsi="Calibri"/>
          <w:sz w:val="24"/>
          <w:szCs w:val="24"/>
        </w:rPr>
        <w:t>, R</w:t>
      </w:r>
      <w:r w:rsidRPr="00D961B9">
        <w:rPr>
          <w:rFonts w:ascii="Calibri" w:hAnsi="Calibri"/>
          <w:sz w:val="24"/>
          <w:szCs w:val="24"/>
        </w:rPr>
        <w:t>.</w:t>
      </w:r>
      <w:r w:rsidR="0066030C" w:rsidRPr="00D961B9">
        <w:rPr>
          <w:rFonts w:ascii="Calibri" w:hAnsi="Calibri"/>
          <w:sz w:val="24"/>
          <w:szCs w:val="24"/>
        </w:rPr>
        <w:t>,</w:t>
      </w:r>
      <w:r w:rsidRPr="00D961B9">
        <w:rPr>
          <w:rFonts w:ascii="Calibri" w:hAnsi="Calibri"/>
          <w:sz w:val="24"/>
          <w:szCs w:val="24"/>
        </w:rPr>
        <w:t xml:space="preserve"> 2013. </w:t>
      </w:r>
      <w:r w:rsidRPr="00D961B9">
        <w:rPr>
          <w:rFonts w:ascii="Calibri" w:hAnsi="Calibri"/>
          <w:sz w:val="24"/>
          <w:szCs w:val="24"/>
          <w:lang w:val="en-GB"/>
        </w:rPr>
        <w:t xml:space="preserve">Forecasting deforestation and carbon emissions in tropical developing countries facing demographic expansion: </w:t>
      </w:r>
      <w:r w:rsidR="00A31F60" w:rsidRPr="00D961B9">
        <w:rPr>
          <w:rFonts w:ascii="Calibri" w:hAnsi="Calibri"/>
          <w:sz w:val="24"/>
          <w:szCs w:val="24"/>
          <w:lang w:val="en-GB"/>
        </w:rPr>
        <w:t>A</w:t>
      </w:r>
      <w:r w:rsidRPr="00D961B9">
        <w:rPr>
          <w:rFonts w:ascii="Calibri" w:hAnsi="Calibri"/>
          <w:sz w:val="24"/>
          <w:szCs w:val="24"/>
          <w:lang w:val="en-GB"/>
        </w:rPr>
        <w:t xml:space="preserve"> case study in Mada</w:t>
      </w:r>
      <w:r w:rsidR="0066030C" w:rsidRPr="00D961B9">
        <w:rPr>
          <w:rFonts w:ascii="Calibri" w:hAnsi="Calibri"/>
          <w:sz w:val="24"/>
          <w:szCs w:val="24"/>
          <w:lang w:val="en-GB"/>
        </w:rPr>
        <w:t xml:space="preserve">gascar. Ecology and </w:t>
      </w:r>
      <w:r w:rsidR="00A31F60" w:rsidRPr="00D961B9">
        <w:rPr>
          <w:rFonts w:ascii="Calibri" w:hAnsi="Calibri"/>
          <w:sz w:val="24"/>
          <w:szCs w:val="24"/>
          <w:lang w:val="en-GB"/>
        </w:rPr>
        <w:t>E</w:t>
      </w:r>
      <w:r w:rsidR="0066030C" w:rsidRPr="00D961B9">
        <w:rPr>
          <w:rFonts w:ascii="Calibri" w:hAnsi="Calibri"/>
          <w:sz w:val="24"/>
          <w:szCs w:val="24"/>
          <w:lang w:val="en-GB"/>
        </w:rPr>
        <w:t>volution</w:t>
      </w:r>
      <w:r w:rsidR="00A31F60" w:rsidRPr="00D961B9">
        <w:rPr>
          <w:rFonts w:ascii="Calibri" w:hAnsi="Calibri"/>
          <w:sz w:val="24"/>
          <w:szCs w:val="24"/>
          <w:lang w:val="en-GB"/>
        </w:rPr>
        <w:t>,</w:t>
      </w:r>
      <w:r w:rsidR="0066030C" w:rsidRPr="00D961B9">
        <w:rPr>
          <w:rFonts w:ascii="Calibri" w:hAnsi="Calibri"/>
          <w:sz w:val="24"/>
          <w:szCs w:val="24"/>
          <w:lang w:val="en-GB"/>
        </w:rPr>
        <w:t xml:space="preserve"> 3, </w:t>
      </w:r>
      <w:r w:rsidRPr="00D961B9">
        <w:rPr>
          <w:rFonts w:ascii="Calibri" w:hAnsi="Calibri"/>
          <w:sz w:val="24"/>
          <w:szCs w:val="24"/>
          <w:lang w:val="en-GB"/>
        </w:rPr>
        <w:t>1702–</w:t>
      </w:r>
      <w:r w:rsidR="0066030C" w:rsidRPr="00D961B9">
        <w:rPr>
          <w:rFonts w:ascii="Calibri" w:hAnsi="Calibri"/>
          <w:sz w:val="24"/>
          <w:szCs w:val="24"/>
          <w:lang w:val="en-GB"/>
        </w:rPr>
        <w:t>17</w:t>
      </w:r>
      <w:r w:rsidRPr="00D961B9">
        <w:rPr>
          <w:rFonts w:ascii="Calibri" w:hAnsi="Calibri"/>
          <w:sz w:val="24"/>
          <w:szCs w:val="24"/>
          <w:lang w:val="en-GB"/>
        </w:rPr>
        <w:t xml:space="preserve">16. </w:t>
      </w:r>
    </w:p>
    <w:p w14:paraId="4047FDFA" w14:textId="77777777"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 xml:space="preserve">Virah-Sawmy, M., Gillson, </w:t>
      </w:r>
      <w:r w:rsidR="0066030C" w:rsidRPr="00D961B9">
        <w:rPr>
          <w:rFonts w:ascii="Calibri" w:hAnsi="Calibri"/>
          <w:sz w:val="24"/>
          <w:szCs w:val="24"/>
          <w:lang w:val="en-GB"/>
        </w:rPr>
        <w:t xml:space="preserve">L., </w:t>
      </w:r>
      <w:r w:rsidRPr="00D961B9">
        <w:rPr>
          <w:rFonts w:ascii="Calibri" w:hAnsi="Calibri"/>
          <w:sz w:val="24"/>
          <w:szCs w:val="24"/>
          <w:lang w:val="en-GB"/>
        </w:rPr>
        <w:t>Willis</w:t>
      </w:r>
      <w:r w:rsidR="0066030C" w:rsidRPr="00D961B9">
        <w:rPr>
          <w:rFonts w:ascii="Calibri" w:hAnsi="Calibri"/>
          <w:sz w:val="24"/>
          <w:szCs w:val="24"/>
          <w:lang w:val="en-GB"/>
        </w:rPr>
        <w:t>, K. J., 2009</w:t>
      </w:r>
      <w:r w:rsidRPr="00D961B9">
        <w:rPr>
          <w:rFonts w:ascii="Calibri" w:hAnsi="Calibri"/>
          <w:sz w:val="24"/>
          <w:szCs w:val="24"/>
          <w:lang w:val="en-GB"/>
        </w:rPr>
        <w:t>. How does spatial heterogeneity influence resilience to climatic changes ? Ecological dynamics in southeast Madagascar. Ecological Monograph</w:t>
      </w:r>
      <w:r w:rsidR="0066030C" w:rsidRPr="00D961B9">
        <w:rPr>
          <w:rFonts w:ascii="Calibri" w:hAnsi="Calibri"/>
          <w:sz w:val="24"/>
          <w:szCs w:val="24"/>
          <w:lang w:val="en-GB"/>
        </w:rPr>
        <w:t xml:space="preserve">, 79, </w:t>
      </w:r>
      <w:r w:rsidRPr="00D961B9">
        <w:rPr>
          <w:rFonts w:ascii="Calibri" w:hAnsi="Calibri"/>
          <w:sz w:val="24"/>
          <w:szCs w:val="24"/>
          <w:lang w:val="en-GB"/>
        </w:rPr>
        <w:t>557–574.</w:t>
      </w:r>
    </w:p>
    <w:p w14:paraId="24E7493F" w14:textId="77777777" w:rsidR="009B46F5" w:rsidRPr="00D961B9" w:rsidRDefault="009B46F5" w:rsidP="009B46F5">
      <w:pPr>
        <w:spacing w:before="100" w:beforeAutospacing="1" w:after="100" w:afterAutospacing="1"/>
        <w:rPr>
          <w:rFonts w:ascii="Calibri" w:hAnsi="Calibri"/>
          <w:sz w:val="24"/>
          <w:szCs w:val="24"/>
          <w:lang w:val="en-GB"/>
        </w:rPr>
      </w:pPr>
      <w:r w:rsidRPr="00D961B9">
        <w:rPr>
          <w:rFonts w:ascii="Calibri" w:hAnsi="Calibri"/>
          <w:sz w:val="24"/>
          <w:szCs w:val="24"/>
          <w:lang w:val="en-GB"/>
        </w:rPr>
        <w:t xml:space="preserve">Watson, J. E. M., Whittaker, </w:t>
      </w:r>
      <w:r w:rsidR="0066030C" w:rsidRPr="00D961B9">
        <w:rPr>
          <w:rFonts w:ascii="Calibri" w:hAnsi="Calibri"/>
          <w:sz w:val="24"/>
          <w:szCs w:val="24"/>
          <w:lang w:val="en-GB"/>
        </w:rPr>
        <w:t>R. J.,</w:t>
      </w:r>
      <w:r w:rsidRPr="00D961B9">
        <w:rPr>
          <w:rFonts w:ascii="Calibri" w:hAnsi="Calibri"/>
          <w:sz w:val="24"/>
          <w:szCs w:val="24"/>
          <w:lang w:val="en-GB"/>
        </w:rPr>
        <w:t xml:space="preserve"> Dawson</w:t>
      </w:r>
      <w:r w:rsidR="0066030C" w:rsidRPr="00D961B9">
        <w:rPr>
          <w:rFonts w:ascii="Calibri" w:hAnsi="Calibri"/>
          <w:sz w:val="24"/>
          <w:szCs w:val="24"/>
          <w:lang w:val="en-GB"/>
        </w:rPr>
        <w:t>, T. P.,</w:t>
      </w:r>
      <w:r w:rsidRPr="00D961B9">
        <w:rPr>
          <w:rFonts w:ascii="Calibri" w:hAnsi="Calibri"/>
          <w:sz w:val="24"/>
          <w:szCs w:val="24"/>
          <w:lang w:val="en-GB"/>
        </w:rPr>
        <w:t xml:space="preserve"> 2005. The importance of littoral forest remnants for indigenous bird conservation in southeastern Madagascar. B</w:t>
      </w:r>
      <w:r w:rsidR="0066030C" w:rsidRPr="00D961B9">
        <w:rPr>
          <w:rFonts w:ascii="Calibri" w:hAnsi="Calibri"/>
          <w:sz w:val="24"/>
          <w:szCs w:val="24"/>
          <w:lang w:val="en-GB"/>
        </w:rPr>
        <w:t xml:space="preserve">iodiversity and Conservation, 14, </w:t>
      </w:r>
      <w:r w:rsidRPr="00D961B9">
        <w:rPr>
          <w:rFonts w:ascii="Calibri" w:hAnsi="Calibri"/>
          <w:sz w:val="24"/>
          <w:szCs w:val="24"/>
          <w:lang w:val="en-GB"/>
        </w:rPr>
        <w:t>523–</w:t>
      </w:r>
      <w:r w:rsidR="0066030C" w:rsidRPr="00D961B9">
        <w:rPr>
          <w:rFonts w:ascii="Calibri" w:hAnsi="Calibri"/>
          <w:sz w:val="24"/>
          <w:szCs w:val="24"/>
          <w:lang w:val="en-GB"/>
        </w:rPr>
        <w:t>5</w:t>
      </w:r>
      <w:r w:rsidRPr="00D961B9">
        <w:rPr>
          <w:rFonts w:ascii="Calibri" w:hAnsi="Calibri"/>
          <w:sz w:val="24"/>
          <w:szCs w:val="24"/>
          <w:lang w:val="en-GB"/>
        </w:rPr>
        <w:t>54</w:t>
      </w:r>
    </w:p>
    <w:p w14:paraId="57F1BF2A" w14:textId="77777777" w:rsidR="009B46F5" w:rsidRPr="00D961B9" w:rsidRDefault="009B46F5" w:rsidP="00390FC0">
      <w:pPr>
        <w:rPr>
          <w:rFonts w:ascii="Times New Roman" w:hAnsi="Times New Roman" w:cs="Times New Roman"/>
          <w:b/>
          <w:sz w:val="24"/>
          <w:szCs w:val="24"/>
          <w:lang w:val="en-GB"/>
        </w:rPr>
        <w:sectPr w:rsidR="009B46F5" w:rsidRPr="00D961B9" w:rsidSect="00E41AAD">
          <w:pgSz w:w="11906" w:h="16838"/>
          <w:pgMar w:top="1417" w:right="1417" w:bottom="1134" w:left="1417" w:header="708" w:footer="708" w:gutter="0"/>
          <w:cols w:space="708"/>
          <w:docGrid w:linePitch="360"/>
        </w:sectPr>
      </w:pPr>
    </w:p>
    <w:p w14:paraId="703FA0D2" w14:textId="77777777" w:rsidR="00F4038F" w:rsidRPr="00D961B9" w:rsidRDefault="00F4038F" w:rsidP="00910AD1">
      <w:pPr>
        <w:autoSpaceDE w:val="0"/>
        <w:autoSpaceDN w:val="0"/>
        <w:adjustRightInd w:val="0"/>
        <w:spacing w:after="0" w:line="240" w:lineRule="auto"/>
        <w:rPr>
          <w:rFonts w:ascii="Calibri" w:hAnsi="Calibri"/>
          <w:sz w:val="23"/>
          <w:szCs w:val="23"/>
          <w:lang w:val="en-GB"/>
        </w:rPr>
      </w:pPr>
      <w:r w:rsidRPr="00D961B9">
        <w:rPr>
          <w:rFonts w:ascii="Calibri" w:hAnsi="Calibri"/>
          <w:sz w:val="23"/>
          <w:szCs w:val="23"/>
          <w:lang w:val="en-GB"/>
        </w:rPr>
        <w:lastRenderedPageBreak/>
        <w:t>Tables and Figures</w:t>
      </w:r>
    </w:p>
    <w:p w14:paraId="54098E13" w14:textId="174F3821" w:rsidR="00390FC0" w:rsidRPr="00D961B9" w:rsidRDefault="00390FC0" w:rsidP="00910AD1">
      <w:pPr>
        <w:autoSpaceDE w:val="0"/>
        <w:autoSpaceDN w:val="0"/>
        <w:adjustRightInd w:val="0"/>
        <w:spacing w:after="0" w:line="240" w:lineRule="auto"/>
        <w:rPr>
          <w:rFonts w:ascii="Calibri" w:hAnsi="Calibri"/>
          <w:sz w:val="23"/>
          <w:szCs w:val="23"/>
          <w:lang w:val="en-GB"/>
        </w:rPr>
      </w:pPr>
      <w:r w:rsidRPr="00D961B9">
        <w:rPr>
          <w:rFonts w:ascii="Calibri" w:hAnsi="Calibri"/>
          <w:sz w:val="23"/>
          <w:szCs w:val="23"/>
          <w:lang w:val="en-GB"/>
        </w:rPr>
        <w:t xml:space="preserve">Table </w:t>
      </w:r>
      <w:r w:rsidR="006B0A24" w:rsidRPr="00D961B9">
        <w:rPr>
          <w:rFonts w:ascii="Calibri" w:hAnsi="Calibri"/>
          <w:sz w:val="23"/>
          <w:szCs w:val="23"/>
          <w:lang w:val="en-GB"/>
        </w:rPr>
        <w:t>A.</w:t>
      </w:r>
      <w:r w:rsidRPr="00D961B9">
        <w:rPr>
          <w:rFonts w:ascii="Calibri" w:hAnsi="Calibri"/>
          <w:sz w:val="23"/>
          <w:szCs w:val="23"/>
          <w:lang w:val="en-GB"/>
        </w:rPr>
        <w:t>1: Comparison of metrics and methodologies in regulatory settings in Australia with new voluntary approaches at the global level (most advanced to least advanced from left to right) (italised are comments by the authors, and non-italicised are descriptions of the approaches used in the case studies)</w:t>
      </w:r>
    </w:p>
    <w:p w14:paraId="0D9C5D6D" w14:textId="77777777" w:rsidR="00390FC0" w:rsidRPr="00D961B9" w:rsidRDefault="00390FC0" w:rsidP="00910AD1">
      <w:pPr>
        <w:autoSpaceDE w:val="0"/>
        <w:autoSpaceDN w:val="0"/>
        <w:adjustRightInd w:val="0"/>
        <w:spacing w:after="0" w:line="240" w:lineRule="auto"/>
        <w:rPr>
          <w:rFonts w:ascii="Calibri" w:hAnsi="Calibri"/>
          <w:sz w:val="23"/>
          <w:szCs w:val="23"/>
          <w:lang w:val="en-GB"/>
        </w:rPr>
      </w:pPr>
    </w:p>
    <w:p w14:paraId="42B8CF00" w14:textId="77777777" w:rsidR="00390FC0" w:rsidRPr="00D961B9" w:rsidRDefault="00390FC0" w:rsidP="00910AD1">
      <w:pPr>
        <w:autoSpaceDE w:val="0"/>
        <w:autoSpaceDN w:val="0"/>
        <w:adjustRightInd w:val="0"/>
        <w:spacing w:after="0" w:line="240" w:lineRule="auto"/>
        <w:rPr>
          <w:rFonts w:ascii="Calibri" w:hAnsi="Calibri"/>
          <w:sz w:val="23"/>
          <w:szCs w:val="23"/>
          <w:lang w:val="en-GB"/>
        </w:rPr>
      </w:pPr>
      <w:r w:rsidRPr="00D961B9">
        <w:rPr>
          <w:rFonts w:ascii="Calibri" w:hAnsi="Calibri"/>
          <w:sz w:val="23"/>
          <w:szCs w:val="23"/>
          <w:lang w:val="en-GB"/>
        </w:rPr>
        <w:t xml:space="preserve">Table </w:t>
      </w:r>
      <w:r w:rsidR="006B0A24" w:rsidRPr="00D961B9">
        <w:rPr>
          <w:rFonts w:ascii="Calibri" w:hAnsi="Calibri"/>
          <w:sz w:val="23"/>
          <w:szCs w:val="23"/>
          <w:lang w:val="en-GB"/>
        </w:rPr>
        <w:t>A.</w:t>
      </w:r>
      <w:r w:rsidRPr="00D961B9">
        <w:rPr>
          <w:rFonts w:ascii="Calibri" w:hAnsi="Calibri"/>
          <w:sz w:val="23"/>
          <w:szCs w:val="23"/>
          <w:lang w:val="en-GB"/>
        </w:rPr>
        <w:t xml:space="preserve">2: </w:t>
      </w:r>
      <w:r w:rsidR="00F4038F" w:rsidRPr="00D961B9">
        <w:rPr>
          <w:rFonts w:ascii="Calibri" w:hAnsi="Calibri"/>
          <w:sz w:val="23"/>
          <w:szCs w:val="23"/>
          <w:lang w:val="en-GB"/>
        </w:rPr>
        <w:t>Broad range of values in habitat hectares depending on which biodiversity indices us</w:t>
      </w:r>
      <w:r w:rsidR="00B12301" w:rsidRPr="00D961B9">
        <w:rPr>
          <w:rFonts w:ascii="Calibri" w:hAnsi="Calibri"/>
          <w:sz w:val="23"/>
          <w:szCs w:val="23"/>
          <w:lang w:val="en-GB"/>
        </w:rPr>
        <w:t>ed – case of Rio Tinto-QMM open-</w:t>
      </w:r>
      <w:r w:rsidR="00F4038F" w:rsidRPr="00D961B9">
        <w:rPr>
          <w:rFonts w:ascii="Calibri" w:hAnsi="Calibri"/>
          <w:sz w:val="23"/>
          <w:szCs w:val="23"/>
          <w:lang w:val="en-GB"/>
        </w:rPr>
        <w:t>cast dredging in the littoral forest</w:t>
      </w:r>
    </w:p>
    <w:p w14:paraId="46EA19E0" w14:textId="77777777" w:rsidR="00390FC0" w:rsidRPr="00D961B9" w:rsidRDefault="00390FC0" w:rsidP="00910AD1">
      <w:pPr>
        <w:autoSpaceDE w:val="0"/>
        <w:autoSpaceDN w:val="0"/>
        <w:adjustRightInd w:val="0"/>
        <w:spacing w:after="0" w:line="240" w:lineRule="auto"/>
        <w:rPr>
          <w:rFonts w:ascii="Calibri" w:hAnsi="Calibri"/>
          <w:sz w:val="23"/>
          <w:szCs w:val="23"/>
          <w:lang w:val="en-GB"/>
        </w:rPr>
      </w:pPr>
    </w:p>
    <w:p w14:paraId="1DEF8F47" w14:textId="77777777" w:rsidR="00771574" w:rsidRPr="00D961B9" w:rsidRDefault="00771574" w:rsidP="00910AD1">
      <w:pPr>
        <w:autoSpaceDE w:val="0"/>
        <w:autoSpaceDN w:val="0"/>
        <w:adjustRightInd w:val="0"/>
        <w:spacing w:after="0" w:line="240" w:lineRule="auto"/>
        <w:rPr>
          <w:rFonts w:ascii="Calibri" w:hAnsi="Calibri"/>
          <w:sz w:val="23"/>
          <w:szCs w:val="23"/>
          <w:lang w:val="en-GB"/>
        </w:rPr>
      </w:pPr>
      <w:r w:rsidRPr="00D961B9">
        <w:rPr>
          <w:rFonts w:ascii="Calibri" w:hAnsi="Calibri"/>
          <w:sz w:val="23"/>
          <w:szCs w:val="23"/>
          <w:lang w:val="en-GB"/>
        </w:rPr>
        <w:t>Figure A.1: A generalized conceptual framework of biodiversity accounting for achieving no-net-loss of biodiversity</w:t>
      </w:r>
    </w:p>
    <w:p w14:paraId="0A5855A9" w14:textId="77777777" w:rsidR="00771574" w:rsidRPr="00D961B9" w:rsidRDefault="00771574" w:rsidP="00910AD1">
      <w:pPr>
        <w:autoSpaceDE w:val="0"/>
        <w:autoSpaceDN w:val="0"/>
        <w:adjustRightInd w:val="0"/>
        <w:spacing w:after="0" w:line="240" w:lineRule="auto"/>
        <w:rPr>
          <w:rFonts w:ascii="Calibri" w:hAnsi="Calibri"/>
          <w:sz w:val="23"/>
          <w:szCs w:val="23"/>
          <w:lang w:val="en-GB"/>
        </w:rPr>
      </w:pPr>
    </w:p>
    <w:p w14:paraId="79DAF714" w14:textId="230053D7" w:rsidR="009B46F5" w:rsidRPr="00910AD1" w:rsidRDefault="00390FC0" w:rsidP="00910AD1">
      <w:pPr>
        <w:autoSpaceDE w:val="0"/>
        <w:autoSpaceDN w:val="0"/>
        <w:adjustRightInd w:val="0"/>
        <w:spacing w:after="0" w:line="240" w:lineRule="auto"/>
        <w:rPr>
          <w:rFonts w:ascii="Calibri" w:hAnsi="Calibri"/>
          <w:sz w:val="23"/>
          <w:szCs w:val="23"/>
          <w:lang w:val="en-GB"/>
        </w:rPr>
      </w:pPr>
      <w:r w:rsidRPr="00D961B9">
        <w:rPr>
          <w:rFonts w:ascii="Calibri" w:hAnsi="Calibri"/>
          <w:sz w:val="23"/>
          <w:szCs w:val="23"/>
          <w:lang w:val="en-GB"/>
        </w:rPr>
        <w:t>F</w:t>
      </w:r>
      <w:r w:rsidR="00A71FF0" w:rsidRPr="00D961B9">
        <w:rPr>
          <w:rFonts w:ascii="Calibri" w:hAnsi="Calibri"/>
          <w:sz w:val="23"/>
          <w:szCs w:val="23"/>
          <w:lang w:val="en-GB"/>
        </w:rPr>
        <w:t xml:space="preserve">igure </w:t>
      </w:r>
      <w:r w:rsidR="006B0A24" w:rsidRPr="00D961B9">
        <w:rPr>
          <w:rFonts w:ascii="Calibri" w:hAnsi="Calibri"/>
          <w:sz w:val="23"/>
          <w:szCs w:val="23"/>
          <w:lang w:val="en-GB"/>
        </w:rPr>
        <w:t>A.</w:t>
      </w:r>
      <w:r w:rsidR="00771574" w:rsidRPr="00D961B9">
        <w:rPr>
          <w:rFonts w:ascii="Calibri" w:hAnsi="Calibri"/>
          <w:sz w:val="23"/>
          <w:szCs w:val="23"/>
          <w:lang w:val="en-GB"/>
        </w:rPr>
        <w:t>2</w:t>
      </w:r>
      <w:r w:rsidR="009B46F5" w:rsidRPr="00D961B9">
        <w:rPr>
          <w:rFonts w:ascii="Calibri" w:hAnsi="Calibri"/>
          <w:sz w:val="23"/>
          <w:szCs w:val="23"/>
          <w:lang w:val="en-GB"/>
        </w:rPr>
        <w:t xml:space="preserve">: Modelling losses against gains using </w:t>
      </w:r>
      <w:r w:rsidR="00910AD1" w:rsidRPr="00D961B9">
        <w:rPr>
          <w:rFonts w:ascii="Calibri" w:hAnsi="Calibri"/>
          <w:sz w:val="23"/>
          <w:szCs w:val="23"/>
          <w:lang w:val="en-GB"/>
        </w:rPr>
        <w:t>a range of parameters</w:t>
      </w:r>
      <w:r w:rsidR="009B46F5" w:rsidRPr="00D961B9">
        <w:rPr>
          <w:rFonts w:ascii="Calibri" w:hAnsi="Calibri"/>
          <w:sz w:val="23"/>
          <w:szCs w:val="23"/>
          <w:lang w:val="en-GB"/>
        </w:rPr>
        <w:t xml:space="preserve"> </w:t>
      </w:r>
      <w:r w:rsidR="00910AD1" w:rsidRPr="00D961B9">
        <w:rPr>
          <w:rFonts w:ascii="Calibri" w:hAnsi="Calibri"/>
          <w:sz w:val="23"/>
          <w:szCs w:val="23"/>
          <w:lang w:val="en-GB"/>
        </w:rPr>
        <w:t>for</w:t>
      </w:r>
      <w:r w:rsidR="009B46F5" w:rsidRPr="00D961B9">
        <w:rPr>
          <w:rFonts w:ascii="Calibri" w:hAnsi="Calibri"/>
          <w:sz w:val="23"/>
          <w:szCs w:val="23"/>
          <w:lang w:val="en-GB"/>
        </w:rPr>
        <w:t xml:space="preserve"> the case study from Rio Tinto-QMM. The models show that the results are dependent on the</w:t>
      </w:r>
      <w:r w:rsidR="00910AD1" w:rsidRPr="00D961B9">
        <w:rPr>
          <w:rFonts w:ascii="Calibri" w:hAnsi="Calibri"/>
          <w:sz w:val="23"/>
          <w:szCs w:val="23"/>
          <w:lang w:val="en-GB"/>
        </w:rPr>
        <w:t xml:space="preserve"> </w:t>
      </w:r>
      <w:r w:rsidR="00D908A3" w:rsidRPr="00D961B9">
        <w:rPr>
          <w:rFonts w:ascii="Calibri" w:hAnsi="Calibri"/>
          <w:sz w:val="23"/>
          <w:szCs w:val="23"/>
          <w:lang w:val="en-GB"/>
        </w:rPr>
        <w:t xml:space="preserve">biodiversity </w:t>
      </w:r>
      <w:r w:rsidR="00B12301" w:rsidRPr="00D961B9">
        <w:rPr>
          <w:rFonts w:ascii="Calibri" w:hAnsi="Calibri"/>
          <w:sz w:val="23"/>
          <w:szCs w:val="23"/>
          <w:lang w:val="en-GB"/>
        </w:rPr>
        <w:t>attributes</w:t>
      </w:r>
      <w:r w:rsidR="00D908A3" w:rsidRPr="00D961B9">
        <w:rPr>
          <w:rFonts w:ascii="Calibri" w:hAnsi="Calibri"/>
          <w:sz w:val="23"/>
          <w:szCs w:val="23"/>
          <w:lang w:val="en-GB"/>
        </w:rPr>
        <w:t xml:space="preserve"> used, as well as the </w:t>
      </w:r>
      <w:r w:rsidR="00910AD1" w:rsidRPr="00D961B9">
        <w:rPr>
          <w:rFonts w:ascii="Calibri" w:hAnsi="Calibri"/>
          <w:sz w:val="23"/>
          <w:szCs w:val="23"/>
          <w:lang w:val="en-GB"/>
        </w:rPr>
        <w:t xml:space="preserve">parameters used including the </w:t>
      </w:r>
      <w:r w:rsidR="009B46F5" w:rsidRPr="00D961B9">
        <w:rPr>
          <w:rFonts w:ascii="Calibri" w:hAnsi="Calibri"/>
          <w:sz w:val="23"/>
          <w:szCs w:val="23"/>
          <w:lang w:val="en-GB"/>
        </w:rPr>
        <w:t>counterfactual</w:t>
      </w:r>
      <w:r w:rsidR="00B12301" w:rsidRPr="00D961B9">
        <w:rPr>
          <w:rFonts w:ascii="Calibri" w:hAnsi="Calibri"/>
          <w:sz w:val="23"/>
          <w:szCs w:val="23"/>
          <w:lang w:val="en-GB"/>
        </w:rPr>
        <w:t xml:space="preserve"> scenario</w:t>
      </w:r>
      <w:r w:rsidR="00910AD1" w:rsidRPr="00D961B9">
        <w:rPr>
          <w:rFonts w:ascii="Calibri" w:hAnsi="Calibri"/>
          <w:sz w:val="23"/>
          <w:szCs w:val="23"/>
          <w:lang w:val="en-GB"/>
        </w:rPr>
        <w:t>, % effectiveness, and conversion factor</w:t>
      </w:r>
      <w:r w:rsidR="009B46F5" w:rsidRPr="00D961B9">
        <w:rPr>
          <w:rFonts w:ascii="Calibri" w:hAnsi="Calibri"/>
          <w:sz w:val="23"/>
          <w:szCs w:val="23"/>
          <w:lang w:val="en-GB"/>
        </w:rPr>
        <w:t xml:space="preserve">. In more details:  a) </w:t>
      </w:r>
      <w:r w:rsidR="00B12301" w:rsidRPr="00D961B9">
        <w:rPr>
          <w:rFonts w:ascii="Calibri" w:hAnsi="Calibri"/>
          <w:sz w:val="23"/>
          <w:szCs w:val="23"/>
          <w:lang w:val="en-GB"/>
        </w:rPr>
        <w:t>h</w:t>
      </w:r>
      <w:r w:rsidR="009B46F5" w:rsidRPr="00D961B9">
        <w:rPr>
          <w:rFonts w:ascii="Calibri" w:hAnsi="Calibri"/>
          <w:sz w:val="23"/>
          <w:szCs w:val="23"/>
          <w:lang w:val="en-GB"/>
        </w:rPr>
        <w:t xml:space="preserve">abitat hectare lost based on 3 key </w:t>
      </w:r>
      <w:r w:rsidR="00B12301" w:rsidRPr="00D961B9">
        <w:rPr>
          <w:rFonts w:ascii="Calibri" w:hAnsi="Calibri"/>
          <w:sz w:val="23"/>
          <w:szCs w:val="23"/>
          <w:lang w:val="en-GB"/>
        </w:rPr>
        <w:t xml:space="preserve">biodiversity indicators (indirect indicator based on forest structure using </w:t>
      </w:r>
      <w:r w:rsidR="009B46F5" w:rsidRPr="00D961B9">
        <w:rPr>
          <w:rFonts w:ascii="Calibri" w:hAnsi="Calibri"/>
          <w:sz w:val="23"/>
          <w:szCs w:val="23"/>
          <w:lang w:val="en-GB"/>
        </w:rPr>
        <w:t>Rio Tinto-QMM</w:t>
      </w:r>
      <w:r w:rsidR="00B12301" w:rsidRPr="00D961B9">
        <w:rPr>
          <w:rFonts w:ascii="Calibri" w:hAnsi="Calibri"/>
          <w:sz w:val="23"/>
          <w:szCs w:val="23"/>
          <w:lang w:val="en-GB"/>
        </w:rPr>
        <w:t xml:space="preserve"> methodology, forest</w:t>
      </w:r>
      <w:r w:rsidR="009B46F5" w:rsidRPr="00D961B9">
        <w:rPr>
          <w:rFonts w:ascii="Calibri" w:hAnsi="Calibri"/>
          <w:sz w:val="23"/>
          <w:szCs w:val="23"/>
          <w:lang w:val="en-GB"/>
        </w:rPr>
        <w:t xml:space="preserve"> hectare loss</w:t>
      </w:r>
      <w:r w:rsidR="00B12301" w:rsidRPr="00D961B9">
        <w:rPr>
          <w:rFonts w:ascii="Calibri" w:hAnsi="Calibri"/>
          <w:sz w:val="23"/>
          <w:szCs w:val="23"/>
          <w:lang w:val="en-GB"/>
        </w:rPr>
        <w:t>, and direct indicator based on average diversity estimated from plant, bird, and utilitarian diversity</w:t>
      </w:r>
      <w:r w:rsidR="009B46F5" w:rsidRPr="00D961B9">
        <w:rPr>
          <w:rFonts w:ascii="Calibri" w:hAnsi="Calibri"/>
          <w:sz w:val="23"/>
          <w:szCs w:val="23"/>
          <w:lang w:val="en-GB"/>
        </w:rPr>
        <w:t xml:space="preserve">; b) net changes in all offsets using </w:t>
      </w:r>
      <w:r w:rsidR="00B12301" w:rsidRPr="00D961B9">
        <w:rPr>
          <w:rFonts w:ascii="Calibri" w:hAnsi="Calibri"/>
          <w:sz w:val="23"/>
          <w:szCs w:val="23"/>
          <w:lang w:val="en-GB"/>
        </w:rPr>
        <w:t>a realistic</w:t>
      </w:r>
      <w:r w:rsidR="009B46F5" w:rsidRPr="00D961B9">
        <w:rPr>
          <w:rFonts w:ascii="Calibri" w:hAnsi="Calibri"/>
          <w:sz w:val="23"/>
          <w:szCs w:val="23"/>
          <w:lang w:val="en-GB"/>
        </w:rPr>
        <w:t xml:space="preserve"> </w:t>
      </w:r>
      <w:r w:rsidR="00910AD1" w:rsidRPr="00D961B9">
        <w:rPr>
          <w:rFonts w:ascii="Calibri" w:hAnsi="Calibri"/>
          <w:sz w:val="23"/>
          <w:szCs w:val="23"/>
          <w:lang w:val="en-GB"/>
        </w:rPr>
        <w:t>counterfactual</w:t>
      </w:r>
      <w:r w:rsidR="00B12301" w:rsidRPr="00D961B9">
        <w:rPr>
          <w:rFonts w:ascii="Calibri" w:hAnsi="Calibri"/>
          <w:sz w:val="23"/>
          <w:szCs w:val="23"/>
          <w:lang w:val="en-GB"/>
        </w:rPr>
        <w:t xml:space="preserve"> scenario, thus </w:t>
      </w:r>
      <w:r w:rsidR="00910AD1" w:rsidRPr="00D961B9">
        <w:rPr>
          <w:rFonts w:ascii="Calibri" w:hAnsi="Calibri"/>
          <w:sz w:val="23"/>
          <w:szCs w:val="23"/>
          <w:lang w:val="en-GB"/>
        </w:rPr>
        <w:t xml:space="preserve">assuming </w:t>
      </w:r>
      <w:r w:rsidR="00B12301" w:rsidRPr="00D961B9">
        <w:rPr>
          <w:rFonts w:ascii="Calibri" w:hAnsi="Calibri"/>
          <w:sz w:val="23"/>
          <w:szCs w:val="23"/>
          <w:lang w:val="en-GB"/>
        </w:rPr>
        <w:t>counterfactual scenario of 1% deforestation loss at offset site, and 0.3% at mine site, and assuming 5</w:t>
      </w:r>
      <w:r w:rsidR="00910AD1" w:rsidRPr="00D961B9">
        <w:rPr>
          <w:rFonts w:ascii="Calibri" w:hAnsi="Calibri"/>
          <w:sz w:val="23"/>
          <w:szCs w:val="23"/>
          <w:lang w:val="en-GB"/>
        </w:rPr>
        <w:t>0% effectiveness</w:t>
      </w:r>
      <w:r w:rsidR="00B12301" w:rsidRPr="00D961B9">
        <w:rPr>
          <w:rFonts w:ascii="Calibri" w:hAnsi="Calibri"/>
          <w:sz w:val="23"/>
          <w:szCs w:val="23"/>
          <w:lang w:val="en-GB"/>
        </w:rPr>
        <w:t xml:space="preserve"> including leakage and</w:t>
      </w:r>
      <w:r w:rsidR="00910AD1" w:rsidRPr="00D961B9">
        <w:rPr>
          <w:rFonts w:ascii="Calibri" w:hAnsi="Calibri"/>
          <w:sz w:val="23"/>
          <w:szCs w:val="23"/>
          <w:lang w:val="en-GB"/>
        </w:rPr>
        <w:t xml:space="preserve"> </w:t>
      </w:r>
      <w:r w:rsidR="00B12301" w:rsidRPr="00D961B9">
        <w:rPr>
          <w:rFonts w:ascii="Calibri" w:hAnsi="Calibri"/>
          <w:sz w:val="23"/>
          <w:szCs w:val="23"/>
          <w:lang w:val="en-GB"/>
        </w:rPr>
        <w:t>70</w:t>
      </w:r>
      <w:r w:rsidR="00910AD1" w:rsidRPr="00D961B9">
        <w:rPr>
          <w:rFonts w:ascii="Calibri" w:hAnsi="Calibri"/>
          <w:sz w:val="23"/>
          <w:szCs w:val="23"/>
          <w:lang w:val="en-GB"/>
        </w:rPr>
        <w:t>% conversion factor</w:t>
      </w:r>
      <w:r w:rsidR="00B12301" w:rsidRPr="00D961B9">
        <w:rPr>
          <w:rFonts w:ascii="Calibri" w:hAnsi="Calibri"/>
          <w:sz w:val="23"/>
          <w:szCs w:val="23"/>
          <w:lang w:val="en-GB"/>
        </w:rPr>
        <w:t xml:space="preserve"> at offset sites, and 30% leakage at mine site. Note that restoration was not taken into account </w:t>
      </w:r>
      <w:r w:rsidR="00AB255F" w:rsidRPr="00D961B9">
        <w:rPr>
          <w:rFonts w:ascii="Calibri" w:hAnsi="Calibri"/>
          <w:sz w:val="23"/>
          <w:szCs w:val="23"/>
          <w:lang w:val="en-GB"/>
        </w:rPr>
        <w:t xml:space="preserve">in net changes estimation </w:t>
      </w:r>
      <w:r w:rsidR="00B12301" w:rsidRPr="00D961B9">
        <w:rPr>
          <w:rFonts w:ascii="Calibri" w:hAnsi="Calibri"/>
          <w:sz w:val="23"/>
          <w:szCs w:val="23"/>
          <w:lang w:val="en-GB"/>
        </w:rPr>
        <w:t xml:space="preserve">given high uncertainly on resulting biodiversity attributes and the small area concerned, but </w:t>
      </w:r>
      <w:r w:rsidR="00AB255F" w:rsidRPr="00D961B9">
        <w:rPr>
          <w:rFonts w:ascii="Calibri" w:hAnsi="Calibri"/>
          <w:sz w:val="23"/>
          <w:szCs w:val="23"/>
          <w:lang w:val="en-GB"/>
        </w:rPr>
        <w:t xml:space="preserve">by contrast, </w:t>
      </w:r>
      <w:r w:rsidR="00B12301" w:rsidRPr="00D961B9">
        <w:rPr>
          <w:rFonts w:ascii="Calibri" w:hAnsi="Calibri"/>
          <w:sz w:val="23"/>
          <w:szCs w:val="23"/>
          <w:lang w:val="en-GB"/>
        </w:rPr>
        <w:t xml:space="preserve">conservation zones in mining perimeter identified </w:t>
      </w:r>
      <w:r w:rsidR="00AB255F" w:rsidRPr="00D961B9">
        <w:rPr>
          <w:rFonts w:ascii="Calibri" w:hAnsi="Calibri"/>
          <w:sz w:val="23"/>
          <w:szCs w:val="23"/>
          <w:lang w:val="en-GB"/>
        </w:rPr>
        <w:t xml:space="preserve">to be conserved </w:t>
      </w:r>
      <w:r w:rsidR="00B12301" w:rsidRPr="00D961B9">
        <w:rPr>
          <w:rFonts w:ascii="Calibri" w:hAnsi="Calibri"/>
          <w:sz w:val="23"/>
          <w:szCs w:val="23"/>
          <w:lang w:val="en-GB"/>
        </w:rPr>
        <w:t>during mitigation hierarchy, were considered as 100% gained</w:t>
      </w:r>
      <w:r w:rsidR="00AB255F" w:rsidRPr="00D961B9">
        <w:rPr>
          <w:rFonts w:ascii="Calibri" w:hAnsi="Calibri"/>
          <w:sz w:val="23"/>
          <w:szCs w:val="23"/>
          <w:lang w:val="en-GB"/>
        </w:rPr>
        <w:t xml:space="preserve"> by Rio Tinto</w:t>
      </w:r>
      <w:r w:rsidR="00B12301" w:rsidRPr="00D961B9">
        <w:rPr>
          <w:rFonts w:ascii="Calibri" w:hAnsi="Calibri"/>
          <w:sz w:val="23"/>
          <w:szCs w:val="23"/>
          <w:lang w:val="en-GB"/>
        </w:rPr>
        <w:t xml:space="preserve">, that is the counterfactual scenario is that all would have been lost by mining, which greatly increased the habitat hectare </w:t>
      </w:r>
      <w:r w:rsidR="00AB255F" w:rsidRPr="00D961B9">
        <w:rPr>
          <w:rFonts w:ascii="Calibri" w:hAnsi="Calibri"/>
          <w:sz w:val="23"/>
          <w:szCs w:val="23"/>
          <w:lang w:val="en-GB"/>
        </w:rPr>
        <w:t xml:space="preserve">gained </w:t>
      </w:r>
      <w:r w:rsidR="00B12301" w:rsidRPr="00D961B9">
        <w:rPr>
          <w:rFonts w:ascii="Calibri" w:hAnsi="Calibri"/>
          <w:sz w:val="23"/>
          <w:szCs w:val="23"/>
          <w:lang w:val="en-GB"/>
        </w:rPr>
        <w:t>by Rio Tinto</w:t>
      </w:r>
      <w:r w:rsidR="00126A3C" w:rsidRPr="00D961B9">
        <w:rPr>
          <w:rFonts w:ascii="Calibri" w:hAnsi="Calibri"/>
          <w:sz w:val="23"/>
          <w:szCs w:val="23"/>
          <w:lang w:val="en-GB"/>
        </w:rPr>
        <w:t>-</w:t>
      </w:r>
      <w:r w:rsidR="00B12301" w:rsidRPr="00D961B9">
        <w:rPr>
          <w:rFonts w:ascii="Calibri" w:hAnsi="Calibri"/>
          <w:sz w:val="23"/>
          <w:szCs w:val="23"/>
          <w:lang w:val="en-GB"/>
        </w:rPr>
        <w:t>QMM even prior to offset activities; d) using</w:t>
      </w:r>
      <w:r w:rsidR="00910AD1" w:rsidRPr="00D961B9">
        <w:rPr>
          <w:rFonts w:ascii="Calibri" w:hAnsi="Calibri"/>
          <w:sz w:val="23"/>
          <w:szCs w:val="23"/>
          <w:lang w:val="en-GB"/>
        </w:rPr>
        <w:t xml:space="preserve"> conservation significance index as the biodiversity </w:t>
      </w:r>
      <w:r w:rsidR="00B12301" w:rsidRPr="00D961B9">
        <w:rPr>
          <w:rFonts w:ascii="Calibri" w:hAnsi="Calibri"/>
          <w:sz w:val="23"/>
          <w:szCs w:val="23"/>
          <w:lang w:val="en-GB"/>
        </w:rPr>
        <w:t>indicator.</w:t>
      </w:r>
      <w:r w:rsidR="00B12301">
        <w:rPr>
          <w:rFonts w:ascii="Calibri" w:hAnsi="Calibri"/>
          <w:sz w:val="23"/>
          <w:szCs w:val="23"/>
          <w:lang w:val="en-GB"/>
        </w:rPr>
        <w:t xml:space="preserve"> </w:t>
      </w:r>
    </w:p>
    <w:sectPr w:rsidR="009B46F5" w:rsidRPr="00910AD1" w:rsidSect="00390F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782E"/>
    <w:multiLevelType w:val="hybridMultilevel"/>
    <w:tmpl w:val="CE24D5B2"/>
    <w:lvl w:ilvl="0" w:tplc="F828B04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35FE8"/>
    <w:multiLevelType w:val="multilevel"/>
    <w:tmpl w:val="0E92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0811"/>
    <w:multiLevelType w:val="multilevel"/>
    <w:tmpl w:val="3D3222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E079BF"/>
    <w:multiLevelType w:val="hybridMultilevel"/>
    <w:tmpl w:val="609EF8D6"/>
    <w:lvl w:ilvl="0" w:tplc="EACE7CC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296F58"/>
    <w:multiLevelType w:val="hybridMultilevel"/>
    <w:tmpl w:val="1AEADF2E"/>
    <w:lvl w:ilvl="0" w:tplc="96D4CEAC">
      <w:start w:val="1"/>
      <w:numFmt w:val="lowerRoman"/>
      <w:pStyle w:val="Heading2"/>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C66D95"/>
    <w:multiLevelType w:val="hybridMultilevel"/>
    <w:tmpl w:val="75F47F28"/>
    <w:lvl w:ilvl="0" w:tplc="97A2CB86">
      <w:numFmt w:val="bullet"/>
      <w:lvlText w:val="-"/>
      <w:lvlJc w:val="left"/>
      <w:pPr>
        <w:ind w:left="531" w:hanging="360"/>
      </w:pPr>
      <w:rPr>
        <w:rFonts w:ascii="Calibri" w:eastAsiaTheme="minorHAnsi" w:hAnsi="Calibri" w:cs="Times New Roman"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6">
    <w:nsid w:val="115E662F"/>
    <w:multiLevelType w:val="hybridMultilevel"/>
    <w:tmpl w:val="7E144C10"/>
    <w:lvl w:ilvl="0" w:tplc="756E8570">
      <w:numFmt w:val="bullet"/>
      <w:lvlText w:val=""/>
      <w:lvlJc w:val="left"/>
      <w:pPr>
        <w:ind w:left="720" w:hanging="360"/>
      </w:pPr>
      <w:rPr>
        <w:rFonts w:ascii="Wingdings" w:eastAsiaTheme="minorHAnsi" w:hAnsi="Wingdings" w:cs="Times New Roman"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9F244F"/>
    <w:multiLevelType w:val="hybridMultilevel"/>
    <w:tmpl w:val="1A9E9F16"/>
    <w:lvl w:ilvl="0" w:tplc="D6703C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BF31C1"/>
    <w:multiLevelType w:val="hybridMultilevel"/>
    <w:tmpl w:val="0FEE7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0D147E"/>
    <w:multiLevelType w:val="hybridMultilevel"/>
    <w:tmpl w:val="2A9AC3BE"/>
    <w:lvl w:ilvl="0" w:tplc="416404D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956391"/>
    <w:multiLevelType w:val="multilevel"/>
    <w:tmpl w:val="E8803BF8"/>
    <w:lvl w:ilvl="0">
      <w:start w:val="2"/>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nsid w:val="23581551"/>
    <w:multiLevelType w:val="hybridMultilevel"/>
    <w:tmpl w:val="BB2408AC"/>
    <w:lvl w:ilvl="0" w:tplc="C0785C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093A7D"/>
    <w:multiLevelType w:val="hybridMultilevel"/>
    <w:tmpl w:val="96F0122E"/>
    <w:lvl w:ilvl="0" w:tplc="E9F2913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6B4C1A"/>
    <w:multiLevelType w:val="hybridMultilevel"/>
    <w:tmpl w:val="9A16BF62"/>
    <w:lvl w:ilvl="0" w:tplc="0314636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453825"/>
    <w:multiLevelType w:val="hybridMultilevel"/>
    <w:tmpl w:val="2F02D0D4"/>
    <w:lvl w:ilvl="0" w:tplc="A2088D02">
      <w:start w:val="1"/>
      <w:numFmt w:val="lowerRoman"/>
      <w:lvlText w:val="(%1.)"/>
      <w:lvlJc w:val="left"/>
      <w:pPr>
        <w:ind w:left="1440" w:hanging="1080"/>
      </w:pPr>
      <w:rPr>
        <w:rFonts w:ascii="Calibri" w:eastAsiaTheme="minorHAnsi" w:hAnsi="Calibri" w:cstheme="minorBidi" w:hint="default"/>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467023"/>
    <w:multiLevelType w:val="multilevel"/>
    <w:tmpl w:val="7B12CF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B707F8"/>
    <w:multiLevelType w:val="hybridMultilevel"/>
    <w:tmpl w:val="86E21D46"/>
    <w:lvl w:ilvl="0" w:tplc="0492A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CC513E"/>
    <w:multiLevelType w:val="multilevel"/>
    <w:tmpl w:val="120CB49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0A093E"/>
    <w:multiLevelType w:val="hybridMultilevel"/>
    <w:tmpl w:val="350C9800"/>
    <w:lvl w:ilvl="0" w:tplc="CF4C335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163377"/>
    <w:multiLevelType w:val="multilevel"/>
    <w:tmpl w:val="7F08D3A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B095753"/>
    <w:multiLevelType w:val="hybridMultilevel"/>
    <w:tmpl w:val="9AC8601E"/>
    <w:lvl w:ilvl="0" w:tplc="E02A411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F179F0"/>
    <w:multiLevelType w:val="hybridMultilevel"/>
    <w:tmpl w:val="87DC9F32"/>
    <w:lvl w:ilvl="0" w:tplc="FBC20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5D01DA"/>
    <w:multiLevelType w:val="hybridMultilevel"/>
    <w:tmpl w:val="F17A70A6"/>
    <w:lvl w:ilvl="0" w:tplc="4178FB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9C5DA6"/>
    <w:multiLevelType w:val="hybridMultilevel"/>
    <w:tmpl w:val="8966B7BA"/>
    <w:lvl w:ilvl="0" w:tplc="B48E2B90">
      <w:start w:val="5"/>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590374"/>
    <w:multiLevelType w:val="hybridMultilevel"/>
    <w:tmpl w:val="2D709FFC"/>
    <w:lvl w:ilvl="0" w:tplc="97A2CB86">
      <w:numFmt w:val="bullet"/>
      <w:lvlText w:val="-"/>
      <w:lvlJc w:val="left"/>
      <w:pPr>
        <w:ind w:left="171" w:hanging="360"/>
      </w:pPr>
      <w:rPr>
        <w:rFonts w:ascii="Calibri" w:eastAsiaTheme="minorHAnsi" w:hAnsi="Calibri" w:cs="Times New Roman" w:hint="default"/>
      </w:rPr>
    </w:lvl>
    <w:lvl w:ilvl="1" w:tplc="0C090003" w:tentative="1">
      <w:start w:val="1"/>
      <w:numFmt w:val="bullet"/>
      <w:lvlText w:val="o"/>
      <w:lvlJc w:val="left"/>
      <w:pPr>
        <w:ind w:left="891" w:hanging="360"/>
      </w:pPr>
      <w:rPr>
        <w:rFonts w:ascii="Courier New" w:hAnsi="Courier New" w:cs="Courier New" w:hint="default"/>
      </w:rPr>
    </w:lvl>
    <w:lvl w:ilvl="2" w:tplc="0C090005" w:tentative="1">
      <w:start w:val="1"/>
      <w:numFmt w:val="bullet"/>
      <w:lvlText w:val=""/>
      <w:lvlJc w:val="left"/>
      <w:pPr>
        <w:ind w:left="1611" w:hanging="360"/>
      </w:pPr>
      <w:rPr>
        <w:rFonts w:ascii="Wingdings" w:hAnsi="Wingdings" w:hint="default"/>
      </w:rPr>
    </w:lvl>
    <w:lvl w:ilvl="3" w:tplc="0C090001" w:tentative="1">
      <w:start w:val="1"/>
      <w:numFmt w:val="bullet"/>
      <w:lvlText w:val=""/>
      <w:lvlJc w:val="left"/>
      <w:pPr>
        <w:ind w:left="2331" w:hanging="360"/>
      </w:pPr>
      <w:rPr>
        <w:rFonts w:ascii="Symbol" w:hAnsi="Symbol" w:hint="default"/>
      </w:rPr>
    </w:lvl>
    <w:lvl w:ilvl="4" w:tplc="0C090003" w:tentative="1">
      <w:start w:val="1"/>
      <w:numFmt w:val="bullet"/>
      <w:lvlText w:val="o"/>
      <w:lvlJc w:val="left"/>
      <w:pPr>
        <w:ind w:left="3051" w:hanging="360"/>
      </w:pPr>
      <w:rPr>
        <w:rFonts w:ascii="Courier New" w:hAnsi="Courier New" w:cs="Courier New" w:hint="default"/>
      </w:rPr>
    </w:lvl>
    <w:lvl w:ilvl="5" w:tplc="0C090005" w:tentative="1">
      <w:start w:val="1"/>
      <w:numFmt w:val="bullet"/>
      <w:lvlText w:val=""/>
      <w:lvlJc w:val="left"/>
      <w:pPr>
        <w:ind w:left="3771" w:hanging="360"/>
      </w:pPr>
      <w:rPr>
        <w:rFonts w:ascii="Wingdings" w:hAnsi="Wingdings" w:hint="default"/>
      </w:rPr>
    </w:lvl>
    <w:lvl w:ilvl="6" w:tplc="0C090001" w:tentative="1">
      <w:start w:val="1"/>
      <w:numFmt w:val="bullet"/>
      <w:lvlText w:val=""/>
      <w:lvlJc w:val="left"/>
      <w:pPr>
        <w:ind w:left="4491" w:hanging="360"/>
      </w:pPr>
      <w:rPr>
        <w:rFonts w:ascii="Symbol" w:hAnsi="Symbol" w:hint="default"/>
      </w:rPr>
    </w:lvl>
    <w:lvl w:ilvl="7" w:tplc="0C090003" w:tentative="1">
      <w:start w:val="1"/>
      <w:numFmt w:val="bullet"/>
      <w:lvlText w:val="o"/>
      <w:lvlJc w:val="left"/>
      <w:pPr>
        <w:ind w:left="5211" w:hanging="360"/>
      </w:pPr>
      <w:rPr>
        <w:rFonts w:ascii="Courier New" w:hAnsi="Courier New" w:cs="Courier New" w:hint="default"/>
      </w:rPr>
    </w:lvl>
    <w:lvl w:ilvl="8" w:tplc="0C090005" w:tentative="1">
      <w:start w:val="1"/>
      <w:numFmt w:val="bullet"/>
      <w:lvlText w:val=""/>
      <w:lvlJc w:val="left"/>
      <w:pPr>
        <w:ind w:left="5931" w:hanging="360"/>
      </w:pPr>
      <w:rPr>
        <w:rFonts w:ascii="Wingdings" w:hAnsi="Wingdings" w:hint="default"/>
      </w:rPr>
    </w:lvl>
  </w:abstractNum>
  <w:abstractNum w:abstractNumId="25">
    <w:nsid w:val="613C067D"/>
    <w:multiLevelType w:val="multilevel"/>
    <w:tmpl w:val="4DD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C0658"/>
    <w:multiLevelType w:val="hybridMultilevel"/>
    <w:tmpl w:val="7124CF9A"/>
    <w:lvl w:ilvl="0" w:tplc="97A2CB86">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464105"/>
    <w:multiLevelType w:val="hybridMultilevel"/>
    <w:tmpl w:val="A8565C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C9684D"/>
    <w:multiLevelType w:val="multilevel"/>
    <w:tmpl w:val="22462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F503E7"/>
    <w:multiLevelType w:val="multilevel"/>
    <w:tmpl w:val="A582D474"/>
    <w:lvl w:ilvl="0">
      <w:start w:val="1"/>
      <w:numFmt w:val="decimal"/>
      <w:lvlText w:val="%1."/>
      <w:lvlJc w:val="left"/>
      <w:pPr>
        <w:ind w:left="540" w:hanging="540"/>
      </w:pPr>
      <w:rPr>
        <w:rFonts w:eastAsiaTheme="minorHAnsi" w:hint="default"/>
      </w:rPr>
    </w:lvl>
    <w:lvl w:ilvl="1">
      <w:start w:val="1"/>
      <w:numFmt w:val="decimal"/>
      <w:lvlText w:val="%1.%2."/>
      <w:lvlJc w:val="left"/>
      <w:pPr>
        <w:ind w:left="720" w:hanging="720"/>
      </w:pPr>
      <w:rPr>
        <w:rFonts w:eastAsiaTheme="minorHAnsi" w:hint="default"/>
      </w:rPr>
    </w:lvl>
    <w:lvl w:ilvl="2">
      <w:start w:val="2"/>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nsid w:val="73BB2504"/>
    <w:multiLevelType w:val="hybridMultilevel"/>
    <w:tmpl w:val="023894CA"/>
    <w:lvl w:ilvl="0" w:tplc="6D283070">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B14932"/>
    <w:multiLevelType w:val="hybridMultilevel"/>
    <w:tmpl w:val="8ED61E06"/>
    <w:lvl w:ilvl="0" w:tplc="C0785C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5FA472C"/>
    <w:multiLevelType w:val="hybridMultilevel"/>
    <w:tmpl w:val="786AE17A"/>
    <w:lvl w:ilvl="0" w:tplc="BEDEDA4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547132"/>
    <w:multiLevelType w:val="hybridMultilevel"/>
    <w:tmpl w:val="86E21D46"/>
    <w:lvl w:ilvl="0" w:tplc="0492A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9190964"/>
    <w:multiLevelType w:val="hybridMultilevel"/>
    <w:tmpl w:val="DDEA05B8"/>
    <w:lvl w:ilvl="0" w:tplc="97A2CB86">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614E5D"/>
    <w:multiLevelType w:val="hybridMultilevel"/>
    <w:tmpl w:val="368287CC"/>
    <w:lvl w:ilvl="0" w:tplc="F8962A0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0"/>
  </w:num>
  <w:num w:numId="4">
    <w:abstractNumId w:val="32"/>
  </w:num>
  <w:num w:numId="5">
    <w:abstractNumId w:val="0"/>
  </w:num>
  <w:num w:numId="6">
    <w:abstractNumId w:val="9"/>
  </w:num>
  <w:num w:numId="7">
    <w:abstractNumId w:val="22"/>
  </w:num>
  <w:num w:numId="8">
    <w:abstractNumId w:val="33"/>
  </w:num>
  <w:num w:numId="9">
    <w:abstractNumId w:val="16"/>
  </w:num>
  <w:num w:numId="10">
    <w:abstractNumId w:val="21"/>
  </w:num>
  <w:num w:numId="11">
    <w:abstractNumId w:val="11"/>
  </w:num>
  <w:num w:numId="12">
    <w:abstractNumId w:val="31"/>
  </w:num>
  <w:num w:numId="13">
    <w:abstractNumId w:val="23"/>
  </w:num>
  <w:num w:numId="14">
    <w:abstractNumId w:val="18"/>
  </w:num>
  <w:num w:numId="15">
    <w:abstractNumId w:val="3"/>
  </w:num>
  <w:num w:numId="16">
    <w:abstractNumId w:val="14"/>
  </w:num>
  <w:num w:numId="17">
    <w:abstractNumId w:val="8"/>
  </w:num>
  <w:num w:numId="18">
    <w:abstractNumId w:val="26"/>
  </w:num>
  <w:num w:numId="19">
    <w:abstractNumId w:val="24"/>
  </w:num>
  <w:num w:numId="20">
    <w:abstractNumId w:val="5"/>
  </w:num>
  <w:num w:numId="21">
    <w:abstractNumId w:val="34"/>
  </w:num>
  <w:num w:numId="22">
    <w:abstractNumId w:val="7"/>
  </w:num>
  <w:num w:numId="23">
    <w:abstractNumId w:val="4"/>
  </w:num>
  <w:num w:numId="24">
    <w:abstractNumId w:val="13"/>
  </w:num>
  <w:num w:numId="25">
    <w:abstractNumId w:val="4"/>
    <w:lvlOverride w:ilvl="0">
      <w:startOverride w:val="1"/>
    </w:lvlOverride>
  </w:num>
  <w:num w:numId="26">
    <w:abstractNumId w:val="1"/>
  </w:num>
  <w:num w:numId="27">
    <w:abstractNumId w:val="6"/>
  </w:num>
  <w:num w:numId="28">
    <w:abstractNumId w:val="27"/>
  </w:num>
  <w:num w:numId="29">
    <w:abstractNumId w:val="35"/>
  </w:num>
  <w:num w:numId="30">
    <w:abstractNumId w:val="12"/>
  </w:num>
  <w:num w:numId="31">
    <w:abstractNumId w:val="28"/>
  </w:num>
  <w:num w:numId="32">
    <w:abstractNumId w:val="29"/>
  </w:num>
  <w:num w:numId="33">
    <w:abstractNumId w:val="2"/>
  </w:num>
  <w:num w:numId="34">
    <w:abstractNumId w:val="17"/>
  </w:num>
  <w:num w:numId="35">
    <w:abstractNumId w:val="15"/>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9B"/>
    <w:rsid w:val="00001393"/>
    <w:rsid w:val="00007214"/>
    <w:rsid w:val="0001180C"/>
    <w:rsid w:val="00011996"/>
    <w:rsid w:val="00015347"/>
    <w:rsid w:val="00015E10"/>
    <w:rsid w:val="000165FC"/>
    <w:rsid w:val="00022567"/>
    <w:rsid w:val="000246F6"/>
    <w:rsid w:val="00025265"/>
    <w:rsid w:val="00027EF2"/>
    <w:rsid w:val="00033776"/>
    <w:rsid w:val="00033D2F"/>
    <w:rsid w:val="00034342"/>
    <w:rsid w:val="000349F1"/>
    <w:rsid w:val="000371CE"/>
    <w:rsid w:val="0003730B"/>
    <w:rsid w:val="00043175"/>
    <w:rsid w:val="0004412D"/>
    <w:rsid w:val="00046199"/>
    <w:rsid w:val="00046BA5"/>
    <w:rsid w:val="000473F8"/>
    <w:rsid w:val="00054DB0"/>
    <w:rsid w:val="00054E7A"/>
    <w:rsid w:val="000554D0"/>
    <w:rsid w:val="00057F48"/>
    <w:rsid w:val="000605BC"/>
    <w:rsid w:val="00060837"/>
    <w:rsid w:val="00063458"/>
    <w:rsid w:val="000658BE"/>
    <w:rsid w:val="0006670C"/>
    <w:rsid w:val="00070CA2"/>
    <w:rsid w:val="000710F2"/>
    <w:rsid w:val="0007113C"/>
    <w:rsid w:val="00071C2E"/>
    <w:rsid w:val="00071CE8"/>
    <w:rsid w:val="000751CE"/>
    <w:rsid w:val="00075332"/>
    <w:rsid w:val="00075B46"/>
    <w:rsid w:val="00080BF9"/>
    <w:rsid w:val="00081498"/>
    <w:rsid w:val="00083BE9"/>
    <w:rsid w:val="00084338"/>
    <w:rsid w:val="00086CD1"/>
    <w:rsid w:val="0009078F"/>
    <w:rsid w:val="000923A7"/>
    <w:rsid w:val="00092D05"/>
    <w:rsid w:val="00093C95"/>
    <w:rsid w:val="000944BA"/>
    <w:rsid w:val="00094F26"/>
    <w:rsid w:val="0009568D"/>
    <w:rsid w:val="000A07FC"/>
    <w:rsid w:val="000A22AD"/>
    <w:rsid w:val="000A44BD"/>
    <w:rsid w:val="000A6EDF"/>
    <w:rsid w:val="000B121A"/>
    <w:rsid w:val="000B1384"/>
    <w:rsid w:val="000B139C"/>
    <w:rsid w:val="000B13FC"/>
    <w:rsid w:val="000B54EA"/>
    <w:rsid w:val="000B6BE6"/>
    <w:rsid w:val="000B6E63"/>
    <w:rsid w:val="000C02E7"/>
    <w:rsid w:val="000C07A4"/>
    <w:rsid w:val="000C206D"/>
    <w:rsid w:val="000C2EFA"/>
    <w:rsid w:val="000C4F8D"/>
    <w:rsid w:val="000C7838"/>
    <w:rsid w:val="000D1C80"/>
    <w:rsid w:val="000D2F03"/>
    <w:rsid w:val="000D444A"/>
    <w:rsid w:val="000D656F"/>
    <w:rsid w:val="000D6C34"/>
    <w:rsid w:val="000D6E8E"/>
    <w:rsid w:val="000D766A"/>
    <w:rsid w:val="000D7872"/>
    <w:rsid w:val="000E06B2"/>
    <w:rsid w:val="000E1F2A"/>
    <w:rsid w:val="000E2977"/>
    <w:rsid w:val="000E3AD4"/>
    <w:rsid w:val="000E4756"/>
    <w:rsid w:val="000E547C"/>
    <w:rsid w:val="000E6F1C"/>
    <w:rsid w:val="000F1435"/>
    <w:rsid w:val="000F3915"/>
    <w:rsid w:val="000F5C00"/>
    <w:rsid w:val="00100A05"/>
    <w:rsid w:val="00103CEA"/>
    <w:rsid w:val="00104980"/>
    <w:rsid w:val="00106246"/>
    <w:rsid w:val="001066A5"/>
    <w:rsid w:val="00106C89"/>
    <w:rsid w:val="001115B8"/>
    <w:rsid w:val="00112105"/>
    <w:rsid w:val="00113842"/>
    <w:rsid w:val="001140C4"/>
    <w:rsid w:val="001143D3"/>
    <w:rsid w:val="001145FD"/>
    <w:rsid w:val="00114ED7"/>
    <w:rsid w:val="0011546D"/>
    <w:rsid w:val="00115A66"/>
    <w:rsid w:val="00117558"/>
    <w:rsid w:val="00124621"/>
    <w:rsid w:val="001247FA"/>
    <w:rsid w:val="00126A3C"/>
    <w:rsid w:val="00126BDB"/>
    <w:rsid w:val="001315DB"/>
    <w:rsid w:val="0014042C"/>
    <w:rsid w:val="00143A19"/>
    <w:rsid w:val="0014765B"/>
    <w:rsid w:val="001477CD"/>
    <w:rsid w:val="001479EB"/>
    <w:rsid w:val="00147E66"/>
    <w:rsid w:val="00150DA3"/>
    <w:rsid w:val="0015387D"/>
    <w:rsid w:val="00153AD9"/>
    <w:rsid w:val="00157BD3"/>
    <w:rsid w:val="001674FD"/>
    <w:rsid w:val="00170900"/>
    <w:rsid w:val="00170E18"/>
    <w:rsid w:val="0017369D"/>
    <w:rsid w:val="00174003"/>
    <w:rsid w:val="00175B26"/>
    <w:rsid w:val="00175D55"/>
    <w:rsid w:val="00182F56"/>
    <w:rsid w:val="00183E7B"/>
    <w:rsid w:val="001904ED"/>
    <w:rsid w:val="0019256E"/>
    <w:rsid w:val="001A0B6F"/>
    <w:rsid w:val="001A23A7"/>
    <w:rsid w:val="001B3866"/>
    <w:rsid w:val="001B503A"/>
    <w:rsid w:val="001B685E"/>
    <w:rsid w:val="001C50A9"/>
    <w:rsid w:val="001C6F87"/>
    <w:rsid w:val="001C783F"/>
    <w:rsid w:val="001D1324"/>
    <w:rsid w:val="001D1511"/>
    <w:rsid w:val="001D4A41"/>
    <w:rsid w:val="001E294A"/>
    <w:rsid w:val="001E3B6F"/>
    <w:rsid w:val="001E40DF"/>
    <w:rsid w:val="001F0595"/>
    <w:rsid w:val="001F36B2"/>
    <w:rsid w:val="001F4347"/>
    <w:rsid w:val="001F4EEB"/>
    <w:rsid w:val="001F543B"/>
    <w:rsid w:val="002017CD"/>
    <w:rsid w:val="00204F68"/>
    <w:rsid w:val="00213876"/>
    <w:rsid w:val="0021434A"/>
    <w:rsid w:val="002161A7"/>
    <w:rsid w:val="00217356"/>
    <w:rsid w:val="002301DF"/>
    <w:rsid w:val="00234CD2"/>
    <w:rsid w:val="0024121E"/>
    <w:rsid w:val="00243B4C"/>
    <w:rsid w:val="00252E16"/>
    <w:rsid w:val="002537EF"/>
    <w:rsid w:val="00253E8B"/>
    <w:rsid w:val="002542F9"/>
    <w:rsid w:val="0025472E"/>
    <w:rsid w:val="00255F94"/>
    <w:rsid w:val="002610AB"/>
    <w:rsid w:val="00267C28"/>
    <w:rsid w:val="002709A0"/>
    <w:rsid w:val="002750E5"/>
    <w:rsid w:val="00275B57"/>
    <w:rsid w:val="00277A30"/>
    <w:rsid w:val="00277F30"/>
    <w:rsid w:val="00280FF9"/>
    <w:rsid w:val="00283630"/>
    <w:rsid w:val="00285383"/>
    <w:rsid w:val="00285D80"/>
    <w:rsid w:val="00286AAC"/>
    <w:rsid w:val="00290AA4"/>
    <w:rsid w:val="00292897"/>
    <w:rsid w:val="00296307"/>
    <w:rsid w:val="00296928"/>
    <w:rsid w:val="002A13F9"/>
    <w:rsid w:val="002A3509"/>
    <w:rsid w:val="002A4614"/>
    <w:rsid w:val="002A7AD4"/>
    <w:rsid w:val="002B094A"/>
    <w:rsid w:val="002B32A2"/>
    <w:rsid w:val="002C039B"/>
    <w:rsid w:val="002C2397"/>
    <w:rsid w:val="002C28F1"/>
    <w:rsid w:val="002C326D"/>
    <w:rsid w:val="002C513B"/>
    <w:rsid w:val="002C5BD1"/>
    <w:rsid w:val="002C67FB"/>
    <w:rsid w:val="002D0872"/>
    <w:rsid w:val="002D11E9"/>
    <w:rsid w:val="002D37B4"/>
    <w:rsid w:val="002D37E7"/>
    <w:rsid w:val="002D3F71"/>
    <w:rsid w:val="002D5CE3"/>
    <w:rsid w:val="002E1DBA"/>
    <w:rsid w:val="002E45D6"/>
    <w:rsid w:val="002E5D4A"/>
    <w:rsid w:val="002E6AA3"/>
    <w:rsid w:val="002E7E7E"/>
    <w:rsid w:val="002F149C"/>
    <w:rsid w:val="002F15AF"/>
    <w:rsid w:val="002F2A8B"/>
    <w:rsid w:val="002F2B8D"/>
    <w:rsid w:val="002F6909"/>
    <w:rsid w:val="00301543"/>
    <w:rsid w:val="0030156D"/>
    <w:rsid w:val="00302E90"/>
    <w:rsid w:val="00304721"/>
    <w:rsid w:val="0030625E"/>
    <w:rsid w:val="00306C86"/>
    <w:rsid w:val="00310DF5"/>
    <w:rsid w:val="00311D08"/>
    <w:rsid w:val="00311E53"/>
    <w:rsid w:val="003124BC"/>
    <w:rsid w:val="003138C6"/>
    <w:rsid w:val="0031587D"/>
    <w:rsid w:val="00316B35"/>
    <w:rsid w:val="00320561"/>
    <w:rsid w:val="003212F9"/>
    <w:rsid w:val="00325F05"/>
    <w:rsid w:val="00331FF0"/>
    <w:rsid w:val="00336DED"/>
    <w:rsid w:val="0033780B"/>
    <w:rsid w:val="0034066B"/>
    <w:rsid w:val="003424BC"/>
    <w:rsid w:val="003425CB"/>
    <w:rsid w:val="0034294D"/>
    <w:rsid w:val="00347779"/>
    <w:rsid w:val="00347F9C"/>
    <w:rsid w:val="0035030D"/>
    <w:rsid w:val="00360225"/>
    <w:rsid w:val="00360844"/>
    <w:rsid w:val="00360D6A"/>
    <w:rsid w:val="0036108C"/>
    <w:rsid w:val="0036265D"/>
    <w:rsid w:val="00366CE8"/>
    <w:rsid w:val="0037029D"/>
    <w:rsid w:val="00373D8D"/>
    <w:rsid w:val="00374FD3"/>
    <w:rsid w:val="003809ED"/>
    <w:rsid w:val="00383AA9"/>
    <w:rsid w:val="00384680"/>
    <w:rsid w:val="00384FA4"/>
    <w:rsid w:val="00385796"/>
    <w:rsid w:val="00390D0B"/>
    <w:rsid w:val="00390FC0"/>
    <w:rsid w:val="00391113"/>
    <w:rsid w:val="00391E84"/>
    <w:rsid w:val="00393F1A"/>
    <w:rsid w:val="0039673F"/>
    <w:rsid w:val="003A184F"/>
    <w:rsid w:val="003A2C84"/>
    <w:rsid w:val="003A5213"/>
    <w:rsid w:val="003B029A"/>
    <w:rsid w:val="003B1C0A"/>
    <w:rsid w:val="003B55B7"/>
    <w:rsid w:val="003B588A"/>
    <w:rsid w:val="003B764A"/>
    <w:rsid w:val="003C0443"/>
    <w:rsid w:val="003C560C"/>
    <w:rsid w:val="003C7762"/>
    <w:rsid w:val="003D183F"/>
    <w:rsid w:val="003D3584"/>
    <w:rsid w:val="003D3C28"/>
    <w:rsid w:val="003D3C4D"/>
    <w:rsid w:val="003D56EE"/>
    <w:rsid w:val="003E0CF5"/>
    <w:rsid w:val="003E2FEB"/>
    <w:rsid w:val="003F1935"/>
    <w:rsid w:val="003F249D"/>
    <w:rsid w:val="003F2C8D"/>
    <w:rsid w:val="003F54E5"/>
    <w:rsid w:val="003F7470"/>
    <w:rsid w:val="00400A42"/>
    <w:rsid w:val="004027CF"/>
    <w:rsid w:val="00402ED6"/>
    <w:rsid w:val="00406236"/>
    <w:rsid w:val="00406A00"/>
    <w:rsid w:val="00411F47"/>
    <w:rsid w:val="0041398B"/>
    <w:rsid w:val="004146BD"/>
    <w:rsid w:val="00417AE6"/>
    <w:rsid w:val="00417FE8"/>
    <w:rsid w:val="00421F44"/>
    <w:rsid w:val="004235A3"/>
    <w:rsid w:val="00423EC7"/>
    <w:rsid w:val="00424D97"/>
    <w:rsid w:val="004256AD"/>
    <w:rsid w:val="00426CFA"/>
    <w:rsid w:val="00434299"/>
    <w:rsid w:val="00436CB2"/>
    <w:rsid w:val="00437E2F"/>
    <w:rsid w:val="004456B6"/>
    <w:rsid w:val="004456B7"/>
    <w:rsid w:val="00453B25"/>
    <w:rsid w:val="00454833"/>
    <w:rsid w:val="00454AC4"/>
    <w:rsid w:val="004601A7"/>
    <w:rsid w:val="00462772"/>
    <w:rsid w:val="00465964"/>
    <w:rsid w:val="00465E76"/>
    <w:rsid w:val="0047075D"/>
    <w:rsid w:val="00472FD6"/>
    <w:rsid w:val="00473020"/>
    <w:rsid w:val="00474E31"/>
    <w:rsid w:val="0047689E"/>
    <w:rsid w:val="00476CE9"/>
    <w:rsid w:val="00481379"/>
    <w:rsid w:val="00482A11"/>
    <w:rsid w:val="00483ED9"/>
    <w:rsid w:val="00485B2D"/>
    <w:rsid w:val="00486D1C"/>
    <w:rsid w:val="004904AD"/>
    <w:rsid w:val="004908B3"/>
    <w:rsid w:val="004913E2"/>
    <w:rsid w:val="004968A7"/>
    <w:rsid w:val="004A20D1"/>
    <w:rsid w:val="004A2BE1"/>
    <w:rsid w:val="004A7433"/>
    <w:rsid w:val="004A799F"/>
    <w:rsid w:val="004B006F"/>
    <w:rsid w:val="004B177A"/>
    <w:rsid w:val="004B419B"/>
    <w:rsid w:val="004C1E1B"/>
    <w:rsid w:val="004C2062"/>
    <w:rsid w:val="004C673B"/>
    <w:rsid w:val="004C6B0F"/>
    <w:rsid w:val="004C7148"/>
    <w:rsid w:val="004D0E62"/>
    <w:rsid w:val="004D4502"/>
    <w:rsid w:val="004D5D4A"/>
    <w:rsid w:val="004E08A4"/>
    <w:rsid w:val="004E482D"/>
    <w:rsid w:val="004E6875"/>
    <w:rsid w:val="004E7EE1"/>
    <w:rsid w:val="004F203F"/>
    <w:rsid w:val="004F2217"/>
    <w:rsid w:val="004F277B"/>
    <w:rsid w:val="004F3BE0"/>
    <w:rsid w:val="004F44E3"/>
    <w:rsid w:val="00504CFB"/>
    <w:rsid w:val="00505F03"/>
    <w:rsid w:val="005068C4"/>
    <w:rsid w:val="0051009B"/>
    <w:rsid w:val="0051113D"/>
    <w:rsid w:val="00513773"/>
    <w:rsid w:val="00514B88"/>
    <w:rsid w:val="00523632"/>
    <w:rsid w:val="00523E4C"/>
    <w:rsid w:val="00524943"/>
    <w:rsid w:val="00524DDF"/>
    <w:rsid w:val="0053139A"/>
    <w:rsid w:val="0054188C"/>
    <w:rsid w:val="00545C64"/>
    <w:rsid w:val="00546ADA"/>
    <w:rsid w:val="00547AE3"/>
    <w:rsid w:val="00551D3F"/>
    <w:rsid w:val="00552286"/>
    <w:rsid w:val="00552EBD"/>
    <w:rsid w:val="00554333"/>
    <w:rsid w:val="00554F6D"/>
    <w:rsid w:val="005565A2"/>
    <w:rsid w:val="00561485"/>
    <w:rsid w:val="00562BAB"/>
    <w:rsid w:val="005665C3"/>
    <w:rsid w:val="00570A65"/>
    <w:rsid w:val="00571061"/>
    <w:rsid w:val="00576D03"/>
    <w:rsid w:val="00577F9B"/>
    <w:rsid w:val="00580B5B"/>
    <w:rsid w:val="00580EAB"/>
    <w:rsid w:val="005814D4"/>
    <w:rsid w:val="0058265F"/>
    <w:rsid w:val="00582A8A"/>
    <w:rsid w:val="005854DB"/>
    <w:rsid w:val="00586FB5"/>
    <w:rsid w:val="00590B40"/>
    <w:rsid w:val="00590CAD"/>
    <w:rsid w:val="00592B9A"/>
    <w:rsid w:val="005930D5"/>
    <w:rsid w:val="00594D94"/>
    <w:rsid w:val="00594DC1"/>
    <w:rsid w:val="005A13DF"/>
    <w:rsid w:val="005A1B28"/>
    <w:rsid w:val="005A5449"/>
    <w:rsid w:val="005A6042"/>
    <w:rsid w:val="005A678C"/>
    <w:rsid w:val="005B0B6B"/>
    <w:rsid w:val="005B11A3"/>
    <w:rsid w:val="005B1208"/>
    <w:rsid w:val="005B146B"/>
    <w:rsid w:val="005B452A"/>
    <w:rsid w:val="005B4612"/>
    <w:rsid w:val="005B5734"/>
    <w:rsid w:val="005B6829"/>
    <w:rsid w:val="005B6D94"/>
    <w:rsid w:val="005B7C15"/>
    <w:rsid w:val="005C020B"/>
    <w:rsid w:val="005C070B"/>
    <w:rsid w:val="005C1D6E"/>
    <w:rsid w:val="005C1F4A"/>
    <w:rsid w:val="005C2BAE"/>
    <w:rsid w:val="005C5A14"/>
    <w:rsid w:val="005D04AA"/>
    <w:rsid w:val="005D06CF"/>
    <w:rsid w:val="005E1CD5"/>
    <w:rsid w:val="005E2F65"/>
    <w:rsid w:val="005E34E4"/>
    <w:rsid w:val="005E549F"/>
    <w:rsid w:val="005F093E"/>
    <w:rsid w:val="005F19C4"/>
    <w:rsid w:val="005F3AE2"/>
    <w:rsid w:val="005F4022"/>
    <w:rsid w:val="005F56A6"/>
    <w:rsid w:val="005F6967"/>
    <w:rsid w:val="005F76EF"/>
    <w:rsid w:val="006038E0"/>
    <w:rsid w:val="00604405"/>
    <w:rsid w:val="006048C8"/>
    <w:rsid w:val="006048D4"/>
    <w:rsid w:val="006066B7"/>
    <w:rsid w:val="006074F3"/>
    <w:rsid w:val="00612221"/>
    <w:rsid w:val="00612B6D"/>
    <w:rsid w:val="00613C3F"/>
    <w:rsid w:val="00614B77"/>
    <w:rsid w:val="00615410"/>
    <w:rsid w:val="00616399"/>
    <w:rsid w:val="00617E0D"/>
    <w:rsid w:val="0062064B"/>
    <w:rsid w:val="0062341D"/>
    <w:rsid w:val="00626D48"/>
    <w:rsid w:val="00630474"/>
    <w:rsid w:val="006306F2"/>
    <w:rsid w:val="0063229D"/>
    <w:rsid w:val="00632FEC"/>
    <w:rsid w:val="00634E70"/>
    <w:rsid w:val="006406E4"/>
    <w:rsid w:val="00641121"/>
    <w:rsid w:val="00643229"/>
    <w:rsid w:val="00651D95"/>
    <w:rsid w:val="006522CF"/>
    <w:rsid w:val="00653FF6"/>
    <w:rsid w:val="006541AB"/>
    <w:rsid w:val="0065665A"/>
    <w:rsid w:val="0066030C"/>
    <w:rsid w:val="00661998"/>
    <w:rsid w:val="006627EF"/>
    <w:rsid w:val="00671FFE"/>
    <w:rsid w:val="00677723"/>
    <w:rsid w:val="006777D5"/>
    <w:rsid w:val="0068027A"/>
    <w:rsid w:val="0068247F"/>
    <w:rsid w:val="0068304B"/>
    <w:rsid w:val="00685473"/>
    <w:rsid w:val="0069006E"/>
    <w:rsid w:val="00690217"/>
    <w:rsid w:val="0069189F"/>
    <w:rsid w:val="00692382"/>
    <w:rsid w:val="00694CA3"/>
    <w:rsid w:val="00696296"/>
    <w:rsid w:val="00696315"/>
    <w:rsid w:val="006A0D84"/>
    <w:rsid w:val="006A0DC3"/>
    <w:rsid w:val="006A21A9"/>
    <w:rsid w:val="006A2893"/>
    <w:rsid w:val="006A4526"/>
    <w:rsid w:val="006B060E"/>
    <w:rsid w:val="006B0A24"/>
    <w:rsid w:val="006B0A8F"/>
    <w:rsid w:val="006B0E9F"/>
    <w:rsid w:val="006B3F52"/>
    <w:rsid w:val="006B48F7"/>
    <w:rsid w:val="006B513C"/>
    <w:rsid w:val="006B7B03"/>
    <w:rsid w:val="006C3273"/>
    <w:rsid w:val="006C4236"/>
    <w:rsid w:val="006C50C9"/>
    <w:rsid w:val="006C5CBE"/>
    <w:rsid w:val="006C6799"/>
    <w:rsid w:val="006D063B"/>
    <w:rsid w:val="006D0A0B"/>
    <w:rsid w:val="006D4C3D"/>
    <w:rsid w:val="006D587C"/>
    <w:rsid w:val="006E0B47"/>
    <w:rsid w:val="006E13B3"/>
    <w:rsid w:val="006E2B1E"/>
    <w:rsid w:val="006E3BD3"/>
    <w:rsid w:val="006E585E"/>
    <w:rsid w:val="006E6466"/>
    <w:rsid w:val="006E6604"/>
    <w:rsid w:val="006E6B73"/>
    <w:rsid w:val="006F0098"/>
    <w:rsid w:val="006F183D"/>
    <w:rsid w:val="006F24B1"/>
    <w:rsid w:val="006F6B05"/>
    <w:rsid w:val="006F7EF0"/>
    <w:rsid w:val="007031FB"/>
    <w:rsid w:val="00703782"/>
    <w:rsid w:val="0070620F"/>
    <w:rsid w:val="007133A7"/>
    <w:rsid w:val="00714424"/>
    <w:rsid w:val="00716177"/>
    <w:rsid w:val="00716361"/>
    <w:rsid w:val="0071783A"/>
    <w:rsid w:val="00720177"/>
    <w:rsid w:val="00720606"/>
    <w:rsid w:val="007206B0"/>
    <w:rsid w:val="0072332A"/>
    <w:rsid w:val="007237A3"/>
    <w:rsid w:val="00725834"/>
    <w:rsid w:val="00725970"/>
    <w:rsid w:val="00725D18"/>
    <w:rsid w:val="00726B3F"/>
    <w:rsid w:val="00727563"/>
    <w:rsid w:val="0073156D"/>
    <w:rsid w:val="00732A7B"/>
    <w:rsid w:val="00732FD8"/>
    <w:rsid w:val="0073343A"/>
    <w:rsid w:val="007362FB"/>
    <w:rsid w:val="00741A14"/>
    <w:rsid w:val="007437A0"/>
    <w:rsid w:val="00751248"/>
    <w:rsid w:val="007529FC"/>
    <w:rsid w:val="00755D54"/>
    <w:rsid w:val="00757E13"/>
    <w:rsid w:val="0076180F"/>
    <w:rsid w:val="00762A41"/>
    <w:rsid w:val="0076442B"/>
    <w:rsid w:val="00764EB7"/>
    <w:rsid w:val="0076624D"/>
    <w:rsid w:val="00766851"/>
    <w:rsid w:val="0077121D"/>
    <w:rsid w:val="00771574"/>
    <w:rsid w:val="00776110"/>
    <w:rsid w:val="007766AA"/>
    <w:rsid w:val="00776D85"/>
    <w:rsid w:val="00782D2C"/>
    <w:rsid w:val="00790D49"/>
    <w:rsid w:val="00796F4A"/>
    <w:rsid w:val="007A09A7"/>
    <w:rsid w:val="007A2A20"/>
    <w:rsid w:val="007A381B"/>
    <w:rsid w:val="007A4C9B"/>
    <w:rsid w:val="007A5432"/>
    <w:rsid w:val="007B4740"/>
    <w:rsid w:val="007B74C0"/>
    <w:rsid w:val="007B78CF"/>
    <w:rsid w:val="007B7CBE"/>
    <w:rsid w:val="007C1E74"/>
    <w:rsid w:val="007C2824"/>
    <w:rsid w:val="007C3AFE"/>
    <w:rsid w:val="007C4883"/>
    <w:rsid w:val="007C6440"/>
    <w:rsid w:val="007C6A32"/>
    <w:rsid w:val="007C701A"/>
    <w:rsid w:val="007D24A0"/>
    <w:rsid w:val="007D3EC4"/>
    <w:rsid w:val="007D4FF9"/>
    <w:rsid w:val="007D6BC5"/>
    <w:rsid w:val="007E1684"/>
    <w:rsid w:val="007E2C08"/>
    <w:rsid w:val="007E6BF4"/>
    <w:rsid w:val="007E79C3"/>
    <w:rsid w:val="007F1E6F"/>
    <w:rsid w:val="007F2063"/>
    <w:rsid w:val="007F2A14"/>
    <w:rsid w:val="007F3071"/>
    <w:rsid w:val="007F4100"/>
    <w:rsid w:val="008011B7"/>
    <w:rsid w:val="008060EE"/>
    <w:rsid w:val="00807809"/>
    <w:rsid w:val="00811420"/>
    <w:rsid w:val="0081658F"/>
    <w:rsid w:val="00817C83"/>
    <w:rsid w:val="008245A2"/>
    <w:rsid w:val="00824648"/>
    <w:rsid w:val="00833745"/>
    <w:rsid w:val="00833884"/>
    <w:rsid w:val="0084148D"/>
    <w:rsid w:val="00842894"/>
    <w:rsid w:val="0084293D"/>
    <w:rsid w:val="0084352B"/>
    <w:rsid w:val="0084514F"/>
    <w:rsid w:val="00846684"/>
    <w:rsid w:val="00854587"/>
    <w:rsid w:val="00856E6C"/>
    <w:rsid w:val="008603A0"/>
    <w:rsid w:val="008648CE"/>
    <w:rsid w:val="00864977"/>
    <w:rsid w:val="00865F55"/>
    <w:rsid w:val="00866460"/>
    <w:rsid w:val="0086769A"/>
    <w:rsid w:val="00870A5A"/>
    <w:rsid w:val="00870AEB"/>
    <w:rsid w:val="00871F7A"/>
    <w:rsid w:val="008728D6"/>
    <w:rsid w:val="00874E33"/>
    <w:rsid w:val="00876FA3"/>
    <w:rsid w:val="00881D5A"/>
    <w:rsid w:val="00882387"/>
    <w:rsid w:val="008858B3"/>
    <w:rsid w:val="0088755B"/>
    <w:rsid w:val="00887BE8"/>
    <w:rsid w:val="00890741"/>
    <w:rsid w:val="00890A0E"/>
    <w:rsid w:val="00894460"/>
    <w:rsid w:val="00894DA7"/>
    <w:rsid w:val="008954CC"/>
    <w:rsid w:val="0089733D"/>
    <w:rsid w:val="008A3DF5"/>
    <w:rsid w:val="008A5558"/>
    <w:rsid w:val="008A62FE"/>
    <w:rsid w:val="008A6897"/>
    <w:rsid w:val="008A73F9"/>
    <w:rsid w:val="008B10D3"/>
    <w:rsid w:val="008B242A"/>
    <w:rsid w:val="008B2ADA"/>
    <w:rsid w:val="008B5A10"/>
    <w:rsid w:val="008C0565"/>
    <w:rsid w:val="008C145C"/>
    <w:rsid w:val="008C3D97"/>
    <w:rsid w:val="008C4858"/>
    <w:rsid w:val="008C4A00"/>
    <w:rsid w:val="008C6B17"/>
    <w:rsid w:val="008C6F57"/>
    <w:rsid w:val="008D0B50"/>
    <w:rsid w:val="008D5849"/>
    <w:rsid w:val="008D60E5"/>
    <w:rsid w:val="008E21B1"/>
    <w:rsid w:val="008F06FB"/>
    <w:rsid w:val="008F3779"/>
    <w:rsid w:val="009021BF"/>
    <w:rsid w:val="00903DD7"/>
    <w:rsid w:val="00904F22"/>
    <w:rsid w:val="0090779C"/>
    <w:rsid w:val="0090787C"/>
    <w:rsid w:val="00910203"/>
    <w:rsid w:val="00910AD1"/>
    <w:rsid w:val="00910F18"/>
    <w:rsid w:val="00912A26"/>
    <w:rsid w:val="009140F2"/>
    <w:rsid w:val="009143AB"/>
    <w:rsid w:val="00917C71"/>
    <w:rsid w:val="00930745"/>
    <w:rsid w:val="00934BC1"/>
    <w:rsid w:val="00941057"/>
    <w:rsid w:val="00942416"/>
    <w:rsid w:val="0095139A"/>
    <w:rsid w:val="009573BA"/>
    <w:rsid w:val="00957CB9"/>
    <w:rsid w:val="00960F71"/>
    <w:rsid w:val="009628FE"/>
    <w:rsid w:val="009700D1"/>
    <w:rsid w:val="00971DA6"/>
    <w:rsid w:val="009740BD"/>
    <w:rsid w:val="00975A7D"/>
    <w:rsid w:val="00977E59"/>
    <w:rsid w:val="009819D2"/>
    <w:rsid w:val="009826C9"/>
    <w:rsid w:val="00983516"/>
    <w:rsid w:val="009869AA"/>
    <w:rsid w:val="009874EE"/>
    <w:rsid w:val="00987AC6"/>
    <w:rsid w:val="00990D74"/>
    <w:rsid w:val="0099278B"/>
    <w:rsid w:val="00992C72"/>
    <w:rsid w:val="00993840"/>
    <w:rsid w:val="009958F3"/>
    <w:rsid w:val="009A189E"/>
    <w:rsid w:val="009A1FE4"/>
    <w:rsid w:val="009A2BFC"/>
    <w:rsid w:val="009B0FE9"/>
    <w:rsid w:val="009B46F5"/>
    <w:rsid w:val="009B5754"/>
    <w:rsid w:val="009B641D"/>
    <w:rsid w:val="009B736C"/>
    <w:rsid w:val="009C1E2B"/>
    <w:rsid w:val="009C4992"/>
    <w:rsid w:val="009C4B95"/>
    <w:rsid w:val="009C6CB6"/>
    <w:rsid w:val="009C7B8D"/>
    <w:rsid w:val="009D2BC6"/>
    <w:rsid w:val="009D5C41"/>
    <w:rsid w:val="009E012A"/>
    <w:rsid w:val="009E1052"/>
    <w:rsid w:val="009E17E4"/>
    <w:rsid w:val="009E577B"/>
    <w:rsid w:val="009E6772"/>
    <w:rsid w:val="009E694E"/>
    <w:rsid w:val="009E6BE1"/>
    <w:rsid w:val="009F0BA6"/>
    <w:rsid w:val="009F11D6"/>
    <w:rsid w:val="009F19C3"/>
    <w:rsid w:val="009F19D3"/>
    <w:rsid w:val="00A00439"/>
    <w:rsid w:val="00A018F3"/>
    <w:rsid w:val="00A14E49"/>
    <w:rsid w:val="00A167E7"/>
    <w:rsid w:val="00A17CDE"/>
    <w:rsid w:val="00A20934"/>
    <w:rsid w:val="00A23748"/>
    <w:rsid w:val="00A31772"/>
    <w:rsid w:val="00A31F60"/>
    <w:rsid w:val="00A33757"/>
    <w:rsid w:val="00A33E98"/>
    <w:rsid w:val="00A407A2"/>
    <w:rsid w:val="00A46B99"/>
    <w:rsid w:val="00A51125"/>
    <w:rsid w:val="00A53A8A"/>
    <w:rsid w:val="00A5785D"/>
    <w:rsid w:val="00A57BAD"/>
    <w:rsid w:val="00A6140D"/>
    <w:rsid w:val="00A627F9"/>
    <w:rsid w:val="00A63A17"/>
    <w:rsid w:val="00A64045"/>
    <w:rsid w:val="00A64603"/>
    <w:rsid w:val="00A646AA"/>
    <w:rsid w:val="00A710EF"/>
    <w:rsid w:val="00A71EB2"/>
    <w:rsid w:val="00A71FF0"/>
    <w:rsid w:val="00A757FA"/>
    <w:rsid w:val="00A762A1"/>
    <w:rsid w:val="00A771DF"/>
    <w:rsid w:val="00A803EF"/>
    <w:rsid w:val="00A83D9A"/>
    <w:rsid w:val="00A86363"/>
    <w:rsid w:val="00A917E2"/>
    <w:rsid w:val="00A91885"/>
    <w:rsid w:val="00A96008"/>
    <w:rsid w:val="00A964BD"/>
    <w:rsid w:val="00AA1918"/>
    <w:rsid w:val="00AA1C69"/>
    <w:rsid w:val="00AA219E"/>
    <w:rsid w:val="00AA2302"/>
    <w:rsid w:val="00AA473C"/>
    <w:rsid w:val="00AA53A2"/>
    <w:rsid w:val="00AB0268"/>
    <w:rsid w:val="00AB255F"/>
    <w:rsid w:val="00AB2C82"/>
    <w:rsid w:val="00AB38ED"/>
    <w:rsid w:val="00AB506C"/>
    <w:rsid w:val="00AB6F9A"/>
    <w:rsid w:val="00AB75B5"/>
    <w:rsid w:val="00AC1F21"/>
    <w:rsid w:val="00AC2D48"/>
    <w:rsid w:val="00AC4994"/>
    <w:rsid w:val="00AD1836"/>
    <w:rsid w:val="00AD1B11"/>
    <w:rsid w:val="00AD2E0C"/>
    <w:rsid w:val="00AD39A5"/>
    <w:rsid w:val="00AD5373"/>
    <w:rsid w:val="00AD63AD"/>
    <w:rsid w:val="00AD6C91"/>
    <w:rsid w:val="00AD773C"/>
    <w:rsid w:val="00AE05EC"/>
    <w:rsid w:val="00AE0902"/>
    <w:rsid w:val="00AE134C"/>
    <w:rsid w:val="00AE7BBD"/>
    <w:rsid w:val="00AF08EF"/>
    <w:rsid w:val="00AF191C"/>
    <w:rsid w:val="00AF66C1"/>
    <w:rsid w:val="00B043C2"/>
    <w:rsid w:val="00B057B6"/>
    <w:rsid w:val="00B07EE8"/>
    <w:rsid w:val="00B10E6D"/>
    <w:rsid w:val="00B12301"/>
    <w:rsid w:val="00B124EB"/>
    <w:rsid w:val="00B13E43"/>
    <w:rsid w:val="00B1686D"/>
    <w:rsid w:val="00B16B40"/>
    <w:rsid w:val="00B17961"/>
    <w:rsid w:val="00B25E43"/>
    <w:rsid w:val="00B3522E"/>
    <w:rsid w:val="00B36195"/>
    <w:rsid w:val="00B40A98"/>
    <w:rsid w:val="00B40F03"/>
    <w:rsid w:val="00B41D11"/>
    <w:rsid w:val="00B42160"/>
    <w:rsid w:val="00B43D4D"/>
    <w:rsid w:val="00B455C4"/>
    <w:rsid w:val="00B45F0F"/>
    <w:rsid w:val="00B4647A"/>
    <w:rsid w:val="00B52C65"/>
    <w:rsid w:val="00B62605"/>
    <w:rsid w:val="00B67EC2"/>
    <w:rsid w:val="00B7445D"/>
    <w:rsid w:val="00B761C5"/>
    <w:rsid w:val="00B7720B"/>
    <w:rsid w:val="00B959D2"/>
    <w:rsid w:val="00B96AF7"/>
    <w:rsid w:val="00BA3083"/>
    <w:rsid w:val="00BA6D58"/>
    <w:rsid w:val="00BA7FDC"/>
    <w:rsid w:val="00BB0262"/>
    <w:rsid w:val="00BB0E2D"/>
    <w:rsid w:val="00BB1078"/>
    <w:rsid w:val="00BB5FD3"/>
    <w:rsid w:val="00BB72E4"/>
    <w:rsid w:val="00BC5F5D"/>
    <w:rsid w:val="00BC685A"/>
    <w:rsid w:val="00BC7D16"/>
    <w:rsid w:val="00BD25EC"/>
    <w:rsid w:val="00BD511D"/>
    <w:rsid w:val="00BD7C86"/>
    <w:rsid w:val="00BE01ED"/>
    <w:rsid w:val="00BE130B"/>
    <w:rsid w:val="00BE2AD2"/>
    <w:rsid w:val="00BF0FCD"/>
    <w:rsid w:val="00BF39EE"/>
    <w:rsid w:val="00BF75EE"/>
    <w:rsid w:val="00C0149B"/>
    <w:rsid w:val="00C03350"/>
    <w:rsid w:val="00C066DA"/>
    <w:rsid w:val="00C07534"/>
    <w:rsid w:val="00C17C12"/>
    <w:rsid w:val="00C17E9E"/>
    <w:rsid w:val="00C17FAF"/>
    <w:rsid w:val="00C2527F"/>
    <w:rsid w:val="00C27913"/>
    <w:rsid w:val="00C331BB"/>
    <w:rsid w:val="00C33629"/>
    <w:rsid w:val="00C34BBD"/>
    <w:rsid w:val="00C34D3D"/>
    <w:rsid w:val="00C37938"/>
    <w:rsid w:val="00C407AA"/>
    <w:rsid w:val="00C4102C"/>
    <w:rsid w:val="00C41393"/>
    <w:rsid w:val="00C42306"/>
    <w:rsid w:val="00C433F5"/>
    <w:rsid w:val="00C43421"/>
    <w:rsid w:val="00C439D5"/>
    <w:rsid w:val="00C455B8"/>
    <w:rsid w:val="00C466A1"/>
    <w:rsid w:val="00C4697C"/>
    <w:rsid w:val="00C51D88"/>
    <w:rsid w:val="00C534AC"/>
    <w:rsid w:val="00C5697C"/>
    <w:rsid w:val="00C5776C"/>
    <w:rsid w:val="00C6237A"/>
    <w:rsid w:val="00C62429"/>
    <w:rsid w:val="00C62F51"/>
    <w:rsid w:val="00C639D0"/>
    <w:rsid w:val="00C63CA8"/>
    <w:rsid w:val="00C63F99"/>
    <w:rsid w:val="00C64784"/>
    <w:rsid w:val="00C64985"/>
    <w:rsid w:val="00C64A42"/>
    <w:rsid w:val="00C65AFB"/>
    <w:rsid w:val="00C67819"/>
    <w:rsid w:val="00C723DE"/>
    <w:rsid w:val="00C72F5A"/>
    <w:rsid w:val="00C74AE8"/>
    <w:rsid w:val="00C770AC"/>
    <w:rsid w:val="00C7715F"/>
    <w:rsid w:val="00C82614"/>
    <w:rsid w:val="00C839FC"/>
    <w:rsid w:val="00C84076"/>
    <w:rsid w:val="00C876CD"/>
    <w:rsid w:val="00C87F25"/>
    <w:rsid w:val="00C931A0"/>
    <w:rsid w:val="00C95190"/>
    <w:rsid w:val="00CA0B41"/>
    <w:rsid w:val="00CA2313"/>
    <w:rsid w:val="00CA345E"/>
    <w:rsid w:val="00CA4A93"/>
    <w:rsid w:val="00CA4D99"/>
    <w:rsid w:val="00CA6555"/>
    <w:rsid w:val="00CA67C2"/>
    <w:rsid w:val="00CA6891"/>
    <w:rsid w:val="00CA6FB8"/>
    <w:rsid w:val="00CA7422"/>
    <w:rsid w:val="00CB0225"/>
    <w:rsid w:val="00CB3F1C"/>
    <w:rsid w:val="00CC05C7"/>
    <w:rsid w:val="00CC534F"/>
    <w:rsid w:val="00CC6BE5"/>
    <w:rsid w:val="00CC7938"/>
    <w:rsid w:val="00CD2E9F"/>
    <w:rsid w:val="00CD37AB"/>
    <w:rsid w:val="00CD7710"/>
    <w:rsid w:val="00CE17DE"/>
    <w:rsid w:val="00CE5B94"/>
    <w:rsid w:val="00CE7415"/>
    <w:rsid w:val="00CF26A0"/>
    <w:rsid w:val="00CF4E42"/>
    <w:rsid w:val="00CF5312"/>
    <w:rsid w:val="00CF55F0"/>
    <w:rsid w:val="00CF7956"/>
    <w:rsid w:val="00D00716"/>
    <w:rsid w:val="00D010D1"/>
    <w:rsid w:val="00D01AB6"/>
    <w:rsid w:val="00D021B1"/>
    <w:rsid w:val="00D07A2D"/>
    <w:rsid w:val="00D07A66"/>
    <w:rsid w:val="00D10CA6"/>
    <w:rsid w:val="00D1111B"/>
    <w:rsid w:val="00D11899"/>
    <w:rsid w:val="00D130BE"/>
    <w:rsid w:val="00D135D7"/>
    <w:rsid w:val="00D16150"/>
    <w:rsid w:val="00D2196C"/>
    <w:rsid w:val="00D2788A"/>
    <w:rsid w:val="00D322BF"/>
    <w:rsid w:val="00D33BBB"/>
    <w:rsid w:val="00D3526A"/>
    <w:rsid w:val="00D36DC8"/>
    <w:rsid w:val="00D4265D"/>
    <w:rsid w:val="00D44C4F"/>
    <w:rsid w:val="00D46DB8"/>
    <w:rsid w:val="00D515B1"/>
    <w:rsid w:val="00D54481"/>
    <w:rsid w:val="00D54621"/>
    <w:rsid w:val="00D55FA9"/>
    <w:rsid w:val="00D60FA9"/>
    <w:rsid w:val="00D63CD8"/>
    <w:rsid w:val="00D652AD"/>
    <w:rsid w:val="00D65DE2"/>
    <w:rsid w:val="00D72A99"/>
    <w:rsid w:val="00D80562"/>
    <w:rsid w:val="00D82211"/>
    <w:rsid w:val="00D8227D"/>
    <w:rsid w:val="00D82999"/>
    <w:rsid w:val="00D87788"/>
    <w:rsid w:val="00D908A3"/>
    <w:rsid w:val="00D90FC3"/>
    <w:rsid w:val="00D923EC"/>
    <w:rsid w:val="00D9256B"/>
    <w:rsid w:val="00D92C6F"/>
    <w:rsid w:val="00D93784"/>
    <w:rsid w:val="00D945FB"/>
    <w:rsid w:val="00D961B9"/>
    <w:rsid w:val="00DA02C6"/>
    <w:rsid w:val="00DA2615"/>
    <w:rsid w:val="00DA28F2"/>
    <w:rsid w:val="00DA34B9"/>
    <w:rsid w:val="00DA4BD8"/>
    <w:rsid w:val="00DA4D5F"/>
    <w:rsid w:val="00DB06E9"/>
    <w:rsid w:val="00DB0995"/>
    <w:rsid w:val="00DB0A30"/>
    <w:rsid w:val="00DB237A"/>
    <w:rsid w:val="00DB41B9"/>
    <w:rsid w:val="00DC1F83"/>
    <w:rsid w:val="00DC6133"/>
    <w:rsid w:val="00DC6CA7"/>
    <w:rsid w:val="00DD0398"/>
    <w:rsid w:val="00DD132B"/>
    <w:rsid w:val="00DD2A9F"/>
    <w:rsid w:val="00DD3B40"/>
    <w:rsid w:val="00DD3E4A"/>
    <w:rsid w:val="00DD5B99"/>
    <w:rsid w:val="00DD79AD"/>
    <w:rsid w:val="00DE1577"/>
    <w:rsid w:val="00DE6F78"/>
    <w:rsid w:val="00DF23F6"/>
    <w:rsid w:val="00DF34C4"/>
    <w:rsid w:val="00DF4B2C"/>
    <w:rsid w:val="00DF7308"/>
    <w:rsid w:val="00E0162C"/>
    <w:rsid w:val="00E06002"/>
    <w:rsid w:val="00E06A01"/>
    <w:rsid w:val="00E10EC0"/>
    <w:rsid w:val="00E13222"/>
    <w:rsid w:val="00E14CBA"/>
    <w:rsid w:val="00E23A36"/>
    <w:rsid w:val="00E2411B"/>
    <w:rsid w:val="00E27FB6"/>
    <w:rsid w:val="00E3162B"/>
    <w:rsid w:val="00E34C89"/>
    <w:rsid w:val="00E3652B"/>
    <w:rsid w:val="00E373C2"/>
    <w:rsid w:val="00E378FB"/>
    <w:rsid w:val="00E40FD6"/>
    <w:rsid w:val="00E41AAD"/>
    <w:rsid w:val="00E42573"/>
    <w:rsid w:val="00E46B2F"/>
    <w:rsid w:val="00E50696"/>
    <w:rsid w:val="00E509C4"/>
    <w:rsid w:val="00E56779"/>
    <w:rsid w:val="00E56E37"/>
    <w:rsid w:val="00E6045E"/>
    <w:rsid w:val="00E63A08"/>
    <w:rsid w:val="00E6682B"/>
    <w:rsid w:val="00E6770C"/>
    <w:rsid w:val="00E67F91"/>
    <w:rsid w:val="00E766E9"/>
    <w:rsid w:val="00E86142"/>
    <w:rsid w:val="00E9211C"/>
    <w:rsid w:val="00E92FBF"/>
    <w:rsid w:val="00EA45D8"/>
    <w:rsid w:val="00EA7B9C"/>
    <w:rsid w:val="00EA7E40"/>
    <w:rsid w:val="00EB29B8"/>
    <w:rsid w:val="00EB372A"/>
    <w:rsid w:val="00EC192C"/>
    <w:rsid w:val="00ED291A"/>
    <w:rsid w:val="00ED29D2"/>
    <w:rsid w:val="00ED2E1D"/>
    <w:rsid w:val="00ED7968"/>
    <w:rsid w:val="00EE1B73"/>
    <w:rsid w:val="00EE65BD"/>
    <w:rsid w:val="00EF25A0"/>
    <w:rsid w:val="00EF44AF"/>
    <w:rsid w:val="00EF4605"/>
    <w:rsid w:val="00EF4F54"/>
    <w:rsid w:val="00EF55A5"/>
    <w:rsid w:val="00EF5B0B"/>
    <w:rsid w:val="00EF604E"/>
    <w:rsid w:val="00EF7368"/>
    <w:rsid w:val="00EF7A37"/>
    <w:rsid w:val="00EF7F1E"/>
    <w:rsid w:val="00F03ECD"/>
    <w:rsid w:val="00F05048"/>
    <w:rsid w:val="00F05DC7"/>
    <w:rsid w:val="00F07A81"/>
    <w:rsid w:val="00F131DF"/>
    <w:rsid w:val="00F16082"/>
    <w:rsid w:val="00F2231F"/>
    <w:rsid w:val="00F241BA"/>
    <w:rsid w:val="00F27DC0"/>
    <w:rsid w:val="00F32DC8"/>
    <w:rsid w:val="00F34C85"/>
    <w:rsid w:val="00F37CC5"/>
    <w:rsid w:val="00F4030D"/>
    <w:rsid w:val="00F4038F"/>
    <w:rsid w:val="00F42AA5"/>
    <w:rsid w:val="00F4324B"/>
    <w:rsid w:val="00F4327F"/>
    <w:rsid w:val="00F435E7"/>
    <w:rsid w:val="00F43B58"/>
    <w:rsid w:val="00F476D5"/>
    <w:rsid w:val="00F47CE6"/>
    <w:rsid w:val="00F518D4"/>
    <w:rsid w:val="00F624CB"/>
    <w:rsid w:val="00F63BF4"/>
    <w:rsid w:val="00F6437A"/>
    <w:rsid w:val="00F66AF5"/>
    <w:rsid w:val="00F7059C"/>
    <w:rsid w:val="00F73D9D"/>
    <w:rsid w:val="00F75352"/>
    <w:rsid w:val="00F76856"/>
    <w:rsid w:val="00F81E46"/>
    <w:rsid w:val="00F830AC"/>
    <w:rsid w:val="00F8421C"/>
    <w:rsid w:val="00F8752A"/>
    <w:rsid w:val="00F92500"/>
    <w:rsid w:val="00F96A5C"/>
    <w:rsid w:val="00FA3E03"/>
    <w:rsid w:val="00FB05CD"/>
    <w:rsid w:val="00FB1FEE"/>
    <w:rsid w:val="00FB53BE"/>
    <w:rsid w:val="00FC0360"/>
    <w:rsid w:val="00FC094C"/>
    <w:rsid w:val="00FC1FDA"/>
    <w:rsid w:val="00FC239C"/>
    <w:rsid w:val="00FC2746"/>
    <w:rsid w:val="00FC33AD"/>
    <w:rsid w:val="00FC7744"/>
    <w:rsid w:val="00FD10AE"/>
    <w:rsid w:val="00FD6BC7"/>
    <w:rsid w:val="00FD724D"/>
    <w:rsid w:val="00FE4262"/>
    <w:rsid w:val="00FE42A3"/>
    <w:rsid w:val="00FF0834"/>
    <w:rsid w:val="00FF20FC"/>
    <w:rsid w:val="00FF320E"/>
    <w:rsid w:val="00FF4A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B35D7"/>
  <w15:docId w15:val="{C79E2585-C785-4FA9-B99F-3282CC09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A3"/>
  </w:style>
  <w:style w:type="paragraph" w:styleId="Heading1">
    <w:name w:val="heading 1"/>
    <w:basedOn w:val="Normal"/>
    <w:next w:val="Normal"/>
    <w:link w:val="Heading1Char"/>
    <w:uiPriority w:val="9"/>
    <w:qFormat/>
    <w:rsid w:val="00716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33780B"/>
    <w:pPr>
      <w:numPr>
        <w:numId w:val="23"/>
      </w:numPr>
      <w:autoSpaceDE w:val="0"/>
      <w:autoSpaceDN w:val="0"/>
      <w:adjustRightInd w:val="0"/>
      <w:spacing w:line="288" w:lineRule="auto"/>
      <w:outlineLvl w:val="1"/>
    </w:pPr>
    <w:rPr>
      <w:rFonts w:ascii="Calibri" w:hAnsi="Calibri"/>
      <w:b/>
      <w:sz w:val="23"/>
      <w:szCs w:val="23"/>
      <w:lang w:val="en-GB"/>
    </w:rPr>
  </w:style>
  <w:style w:type="paragraph" w:styleId="Heading3">
    <w:name w:val="heading 3"/>
    <w:basedOn w:val="Normal"/>
    <w:next w:val="Normal"/>
    <w:link w:val="Heading3Char"/>
    <w:uiPriority w:val="9"/>
    <w:unhideWhenUsed/>
    <w:qFormat/>
    <w:rsid w:val="00714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6A5C"/>
  </w:style>
  <w:style w:type="paragraph" w:styleId="ListParagraph">
    <w:name w:val="List Paragraph"/>
    <w:basedOn w:val="Normal"/>
    <w:uiPriority w:val="34"/>
    <w:qFormat/>
    <w:rsid w:val="0081658F"/>
    <w:pPr>
      <w:spacing w:after="0" w:line="240" w:lineRule="auto"/>
      <w:ind w:left="720"/>
      <w:contextualSpacing/>
    </w:pPr>
    <w:rPr>
      <w:rFonts w:ascii="Arial" w:eastAsia="Times New Roman" w:hAnsi="Arial" w:cs="Courier New"/>
      <w:sz w:val="20"/>
      <w:szCs w:val="20"/>
      <w:lang w:val="en-AU"/>
    </w:rPr>
  </w:style>
  <w:style w:type="paragraph" w:styleId="BalloonText">
    <w:name w:val="Balloon Text"/>
    <w:basedOn w:val="Normal"/>
    <w:link w:val="BalloonTextChar"/>
    <w:uiPriority w:val="99"/>
    <w:semiHidden/>
    <w:unhideWhenUsed/>
    <w:rsid w:val="00A7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B2"/>
    <w:rPr>
      <w:rFonts w:ascii="Tahoma" w:hAnsi="Tahoma" w:cs="Tahoma"/>
      <w:sz w:val="16"/>
      <w:szCs w:val="16"/>
    </w:rPr>
  </w:style>
  <w:style w:type="table" w:styleId="TableGrid">
    <w:name w:val="Table Grid"/>
    <w:basedOn w:val="TableNormal"/>
    <w:uiPriority w:val="59"/>
    <w:rsid w:val="00DB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A0B"/>
    <w:rPr>
      <w:color w:val="0000FF"/>
      <w:u w:val="single"/>
    </w:rPr>
  </w:style>
  <w:style w:type="character" w:customStyle="1" w:styleId="apple-converted-space">
    <w:name w:val="apple-converted-space"/>
    <w:basedOn w:val="DefaultParagraphFont"/>
    <w:rsid w:val="00FC33AD"/>
  </w:style>
  <w:style w:type="paragraph" w:styleId="NormalWeb">
    <w:name w:val="Normal (Web)"/>
    <w:basedOn w:val="Normal"/>
    <w:uiPriority w:val="99"/>
    <w:unhideWhenUsed/>
    <w:rsid w:val="00C17E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17E9E"/>
    <w:rPr>
      <w:b/>
      <w:bCs/>
    </w:rPr>
  </w:style>
  <w:style w:type="character" w:styleId="CommentReference">
    <w:name w:val="annotation reference"/>
    <w:basedOn w:val="DefaultParagraphFont"/>
    <w:uiPriority w:val="99"/>
    <w:semiHidden/>
    <w:unhideWhenUsed/>
    <w:rsid w:val="008D60E5"/>
    <w:rPr>
      <w:sz w:val="16"/>
      <w:szCs w:val="16"/>
    </w:rPr>
  </w:style>
  <w:style w:type="paragraph" w:styleId="CommentText">
    <w:name w:val="annotation text"/>
    <w:basedOn w:val="Normal"/>
    <w:link w:val="CommentTextChar"/>
    <w:uiPriority w:val="99"/>
    <w:unhideWhenUsed/>
    <w:rsid w:val="008D60E5"/>
    <w:pPr>
      <w:spacing w:line="240" w:lineRule="auto"/>
    </w:pPr>
    <w:rPr>
      <w:sz w:val="20"/>
      <w:szCs w:val="20"/>
    </w:rPr>
  </w:style>
  <w:style w:type="character" w:customStyle="1" w:styleId="CommentTextChar">
    <w:name w:val="Comment Text Char"/>
    <w:basedOn w:val="DefaultParagraphFont"/>
    <w:link w:val="CommentText"/>
    <w:uiPriority w:val="99"/>
    <w:rsid w:val="008D60E5"/>
    <w:rPr>
      <w:sz w:val="20"/>
      <w:szCs w:val="20"/>
    </w:rPr>
  </w:style>
  <w:style w:type="paragraph" w:styleId="CommentSubject">
    <w:name w:val="annotation subject"/>
    <w:basedOn w:val="CommentText"/>
    <w:next w:val="CommentText"/>
    <w:link w:val="CommentSubjectChar"/>
    <w:uiPriority w:val="99"/>
    <w:semiHidden/>
    <w:unhideWhenUsed/>
    <w:rsid w:val="008D60E5"/>
    <w:rPr>
      <w:b/>
      <w:bCs/>
    </w:rPr>
  </w:style>
  <w:style w:type="character" w:customStyle="1" w:styleId="CommentSubjectChar">
    <w:name w:val="Comment Subject Char"/>
    <w:basedOn w:val="CommentTextChar"/>
    <w:link w:val="CommentSubject"/>
    <w:uiPriority w:val="99"/>
    <w:semiHidden/>
    <w:rsid w:val="008D60E5"/>
    <w:rPr>
      <w:b/>
      <w:bCs/>
      <w:sz w:val="20"/>
      <w:szCs w:val="20"/>
    </w:rPr>
  </w:style>
  <w:style w:type="character" w:styleId="Emphasis">
    <w:name w:val="Emphasis"/>
    <w:basedOn w:val="DefaultParagraphFont"/>
    <w:uiPriority w:val="20"/>
    <w:qFormat/>
    <w:rsid w:val="00F47CE6"/>
    <w:rPr>
      <w:i/>
      <w:iCs/>
    </w:rPr>
  </w:style>
  <w:style w:type="character" w:customStyle="1" w:styleId="il">
    <w:name w:val="il"/>
    <w:basedOn w:val="DefaultParagraphFont"/>
    <w:rsid w:val="00DD132B"/>
  </w:style>
  <w:style w:type="paragraph" w:customStyle="1" w:styleId="Default">
    <w:name w:val="Default"/>
    <w:rsid w:val="0004412D"/>
    <w:pPr>
      <w:autoSpaceDE w:val="0"/>
      <w:autoSpaceDN w:val="0"/>
      <w:adjustRightInd w:val="0"/>
      <w:spacing w:after="0" w:line="240" w:lineRule="auto"/>
    </w:pPr>
    <w:rPr>
      <w:rFonts w:ascii="Calibri" w:hAnsi="Calibri" w:cs="Calibri"/>
      <w:color w:val="000000"/>
      <w:sz w:val="24"/>
      <w:szCs w:val="24"/>
      <w:lang w:val="en-AU"/>
    </w:rPr>
  </w:style>
  <w:style w:type="paragraph" w:customStyle="1" w:styleId="DecimalAligned">
    <w:name w:val="Decimal Aligned"/>
    <w:basedOn w:val="Normal"/>
    <w:uiPriority w:val="40"/>
    <w:qFormat/>
    <w:rsid w:val="009E1052"/>
    <w:pPr>
      <w:tabs>
        <w:tab w:val="decimal" w:pos="360"/>
      </w:tabs>
    </w:pPr>
    <w:rPr>
      <w:lang w:val="en-US" w:eastAsia="ja-JP"/>
    </w:rPr>
  </w:style>
  <w:style w:type="paragraph" w:styleId="FootnoteText">
    <w:name w:val="footnote text"/>
    <w:basedOn w:val="Normal"/>
    <w:link w:val="FootnoteTextChar"/>
    <w:uiPriority w:val="99"/>
    <w:unhideWhenUsed/>
    <w:rsid w:val="009E1052"/>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9E1052"/>
    <w:rPr>
      <w:rFonts w:eastAsiaTheme="minorEastAsia"/>
      <w:sz w:val="20"/>
      <w:szCs w:val="20"/>
      <w:lang w:val="en-US" w:eastAsia="ja-JP"/>
    </w:rPr>
  </w:style>
  <w:style w:type="character" w:styleId="SubtleEmphasis">
    <w:name w:val="Subtle Emphasis"/>
    <w:basedOn w:val="DefaultParagraphFont"/>
    <w:uiPriority w:val="19"/>
    <w:qFormat/>
    <w:rsid w:val="009E1052"/>
    <w:rPr>
      <w:i/>
      <w:iCs/>
      <w:color w:val="7F7F7F" w:themeColor="text1" w:themeTint="80"/>
    </w:rPr>
  </w:style>
  <w:style w:type="table" w:styleId="LightShading-Accent1">
    <w:name w:val="Light Shading Accent 1"/>
    <w:basedOn w:val="TableNormal"/>
    <w:uiPriority w:val="60"/>
    <w:rsid w:val="009E1052"/>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7163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780B"/>
    <w:rPr>
      <w:rFonts w:ascii="Calibri" w:eastAsia="Times New Roman" w:hAnsi="Calibri" w:cs="Courier New"/>
      <w:b/>
      <w:sz w:val="23"/>
      <w:szCs w:val="23"/>
      <w:lang w:val="en-GB"/>
    </w:rPr>
  </w:style>
  <w:style w:type="paragraph" w:styleId="Title">
    <w:name w:val="Title"/>
    <w:basedOn w:val="Normal"/>
    <w:next w:val="Normal"/>
    <w:link w:val="TitleChar"/>
    <w:uiPriority w:val="10"/>
    <w:qFormat/>
    <w:rsid w:val="004C1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1E1B"/>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7D4F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4FF9"/>
    <w:rPr>
      <w:rFonts w:ascii="Tahoma" w:hAnsi="Tahoma" w:cs="Tahoma"/>
      <w:sz w:val="16"/>
      <w:szCs w:val="16"/>
    </w:rPr>
  </w:style>
  <w:style w:type="character" w:customStyle="1" w:styleId="Heading3Char">
    <w:name w:val="Heading 3 Char"/>
    <w:basedOn w:val="DefaultParagraphFont"/>
    <w:link w:val="Heading3"/>
    <w:uiPriority w:val="9"/>
    <w:rsid w:val="00714424"/>
    <w:rPr>
      <w:rFonts w:asciiTheme="majorHAnsi" w:eastAsiaTheme="majorEastAsia" w:hAnsiTheme="majorHAnsi" w:cstheme="majorBidi"/>
      <w:b/>
      <w:bCs/>
      <w:color w:val="4F81BD" w:themeColor="accent1"/>
    </w:rPr>
  </w:style>
  <w:style w:type="paragraph" w:styleId="Revision">
    <w:name w:val="Revision"/>
    <w:hidden/>
    <w:uiPriority w:val="99"/>
    <w:semiHidden/>
    <w:rsid w:val="00F476D5"/>
    <w:pPr>
      <w:spacing w:after="0" w:line="240" w:lineRule="auto"/>
    </w:pPr>
  </w:style>
  <w:style w:type="character" w:customStyle="1" w:styleId="singlehighlightclass">
    <w:name w:val="single_highlight_class"/>
    <w:basedOn w:val="DefaultParagraphFont"/>
    <w:rsid w:val="00F07A81"/>
  </w:style>
  <w:style w:type="character" w:customStyle="1" w:styleId="journalname">
    <w:name w:val="journalname"/>
    <w:basedOn w:val="DefaultParagraphFont"/>
    <w:rsid w:val="00F07A81"/>
  </w:style>
  <w:style w:type="character" w:customStyle="1" w:styleId="volume">
    <w:name w:val="volume"/>
    <w:basedOn w:val="DefaultParagraphFont"/>
    <w:rsid w:val="00F07A81"/>
  </w:style>
  <w:style w:type="character" w:customStyle="1" w:styleId="issue">
    <w:name w:val="issue"/>
    <w:basedOn w:val="DefaultParagraphFont"/>
    <w:rsid w:val="00F07A81"/>
  </w:style>
  <w:style w:type="character" w:customStyle="1" w:styleId="year">
    <w:name w:val="year"/>
    <w:basedOn w:val="DefaultParagraphFont"/>
    <w:rsid w:val="00F07A81"/>
  </w:style>
  <w:style w:type="paragraph" w:customStyle="1" w:styleId="authors">
    <w:name w:val="authors"/>
    <w:basedOn w:val="Normal"/>
    <w:rsid w:val="006C423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C64784"/>
    <w:rPr>
      <w:color w:val="808080"/>
    </w:rPr>
  </w:style>
  <w:style w:type="paragraph" w:styleId="PlainText">
    <w:name w:val="Plain Text"/>
    <w:basedOn w:val="Normal"/>
    <w:link w:val="PlainTextChar"/>
    <w:uiPriority w:val="99"/>
    <w:unhideWhenUsed/>
    <w:rsid w:val="008A73F9"/>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8A73F9"/>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47852">
      <w:bodyDiv w:val="1"/>
      <w:marLeft w:val="0"/>
      <w:marRight w:val="0"/>
      <w:marTop w:val="0"/>
      <w:marBottom w:val="0"/>
      <w:divBdr>
        <w:top w:val="none" w:sz="0" w:space="0" w:color="auto"/>
        <w:left w:val="none" w:sz="0" w:space="0" w:color="auto"/>
        <w:bottom w:val="none" w:sz="0" w:space="0" w:color="auto"/>
        <w:right w:val="none" w:sz="0" w:space="0" w:color="auto"/>
      </w:divBdr>
      <w:divsChild>
        <w:div w:id="452361818">
          <w:marLeft w:val="0"/>
          <w:marRight w:val="0"/>
          <w:marTop w:val="0"/>
          <w:marBottom w:val="0"/>
          <w:divBdr>
            <w:top w:val="none" w:sz="0" w:space="0" w:color="auto"/>
            <w:left w:val="none" w:sz="0" w:space="0" w:color="auto"/>
            <w:bottom w:val="none" w:sz="0" w:space="0" w:color="auto"/>
            <w:right w:val="none" w:sz="0" w:space="0" w:color="auto"/>
          </w:divBdr>
        </w:div>
        <w:div w:id="2107186875">
          <w:marLeft w:val="0"/>
          <w:marRight w:val="0"/>
          <w:marTop w:val="0"/>
          <w:marBottom w:val="0"/>
          <w:divBdr>
            <w:top w:val="none" w:sz="0" w:space="0" w:color="auto"/>
            <w:left w:val="none" w:sz="0" w:space="0" w:color="auto"/>
            <w:bottom w:val="none" w:sz="0" w:space="0" w:color="auto"/>
            <w:right w:val="none" w:sz="0" w:space="0" w:color="auto"/>
          </w:divBdr>
        </w:div>
      </w:divsChild>
    </w:div>
    <w:div w:id="298002300">
      <w:bodyDiv w:val="1"/>
      <w:marLeft w:val="0"/>
      <w:marRight w:val="0"/>
      <w:marTop w:val="0"/>
      <w:marBottom w:val="0"/>
      <w:divBdr>
        <w:top w:val="none" w:sz="0" w:space="0" w:color="auto"/>
        <w:left w:val="none" w:sz="0" w:space="0" w:color="auto"/>
        <w:bottom w:val="none" w:sz="0" w:space="0" w:color="auto"/>
        <w:right w:val="none" w:sz="0" w:space="0" w:color="auto"/>
      </w:divBdr>
    </w:div>
    <w:div w:id="480198658">
      <w:bodyDiv w:val="1"/>
      <w:marLeft w:val="0"/>
      <w:marRight w:val="0"/>
      <w:marTop w:val="0"/>
      <w:marBottom w:val="0"/>
      <w:divBdr>
        <w:top w:val="none" w:sz="0" w:space="0" w:color="auto"/>
        <w:left w:val="none" w:sz="0" w:space="0" w:color="auto"/>
        <w:bottom w:val="none" w:sz="0" w:space="0" w:color="auto"/>
        <w:right w:val="none" w:sz="0" w:space="0" w:color="auto"/>
      </w:divBdr>
    </w:div>
    <w:div w:id="503740190">
      <w:bodyDiv w:val="1"/>
      <w:marLeft w:val="0"/>
      <w:marRight w:val="0"/>
      <w:marTop w:val="0"/>
      <w:marBottom w:val="0"/>
      <w:divBdr>
        <w:top w:val="none" w:sz="0" w:space="0" w:color="auto"/>
        <w:left w:val="none" w:sz="0" w:space="0" w:color="auto"/>
        <w:bottom w:val="none" w:sz="0" w:space="0" w:color="auto"/>
        <w:right w:val="none" w:sz="0" w:space="0" w:color="auto"/>
      </w:divBdr>
    </w:div>
    <w:div w:id="619606798">
      <w:bodyDiv w:val="1"/>
      <w:marLeft w:val="0"/>
      <w:marRight w:val="0"/>
      <w:marTop w:val="0"/>
      <w:marBottom w:val="0"/>
      <w:divBdr>
        <w:top w:val="none" w:sz="0" w:space="0" w:color="auto"/>
        <w:left w:val="none" w:sz="0" w:space="0" w:color="auto"/>
        <w:bottom w:val="none" w:sz="0" w:space="0" w:color="auto"/>
        <w:right w:val="none" w:sz="0" w:space="0" w:color="auto"/>
      </w:divBdr>
    </w:div>
    <w:div w:id="669523423">
      <w:bodyDiv w:val="1"/>
      <w:marLeft w:val="0"/>
      <w:marRight w:val="0"/>
      <w:marTop w:val="0"/>
      <w:marBottom w:val="0"/>
      <w:divBdr>
        <w:top w:val="none" w:sz="0" w:space="0" w:color="auto"/>
        <w:left w:val="none" w:sz="0" w:space="0" w:color="auto"/>
        <w:bottom w:val="none" w:sz="0" w:space="0" w:color="auto"/>
        <w:right w:val="none" w:sz="0" w:space="0" w:color="auto"/>
      </w:divBdr>
    </w:div>
    <w:div w:id="672728801">
      <w:bodyDiv w:val="1"/>
      <w:marLeft w:val="0"/>
      <w:marRight w:val="0"/>
      <w:marTop w:val="0"/>
      <w:marBottom w:val="0"/>
      <w:divBdr>
        <w:top w:val="none" w:sz="0" w:space="0" w:color="auto"/>
        <w:left w:val="none" w:sz="0" w:space="0" w:color="auto"/>
        <w:bottom w:val="none" w:sz="0" w:space="0" w:color="auto"/>
        <w:right w:val="none" w:sz="0" w:space="0" w:color="auto"/>
      </w:divBdr>
    </w:div>
    <w:div w:id="732972135">
      <w:bodyDiv w:val="1"/>
      <w:marLeft w:val="0"/>
      <w:marRight w:val="0"/>
      <w:marTop w:val="0"/>
      <w:marBottom w:val="0"/>
      <w:divBdr>
        <w:top w:val="none" w:sz="0" w:space="0" w:color="auto"/>
        <w:left w:val="none" w:sz="0" w:space="0" w:color="auto"/>
        <w:bottom w:val="none" w:sz="0" w:space="0" w:color="auto"/>
        <w:right w:val="none" w:sz="0" w:space="0" w:color="auto"/>
      </w:divBdr>
    </w:div>
    <w:div w:id="796340713">
      <w:bodyDiv w:val="1"/>
      <w:marLeft w:val="0"/>
      <w:marRight w:val="0"/>
      <w:marTop w:val="0"/>
      <w:marBottom w:val="0"/>
      <w:divBdr>
        <w:top w:val="none" w:sz="0" w:space="0" w:color="auto"/>
        <w:left w:val="none" w:sz="0" w:space="0" w:color="auto"/>
        <w:bottom w:val="none" w:sz="0" w:space="0" w:color="auto"/>
        <w:right w:val="none" w:sz="0" w:space="0" w:color="auto"/>
      </w:divBdr>
    </w:div>
    <w:div w:id="920675515">
      <w:bodyDiv w:val="1"/>
      <w:marLeft w:val="0"/>
      <w:marRight w:val="0"/>
      <w:marTop w:val="0"/>
      <w:marBottom w:val="0"/>
      <w:divBdr>
        <w:top w:val="none" w:sz="0" w:space="0" w:color="auto"/>
        <w:left w:val="none" w:sz="0" w:space="0" w:color="auto"/>
        <w:bottom w:val="none" w:sz="0" w:space="0" w:color="auto"/>
        <w:right w:val="none" w:sz="0" w:space="0" w:color="auto"/>
      </w:divBdr>
    </w:div>
    <w:div w:id="1094086591">
      <w:bodyDiv w:val="1"/>
      <w:marLeft w:val="0"/>
      <w:marRight w:val="0"/>
      <w:marTop w:val="0"/>
      <w:marBottom w:val="0"/>
      <w:divBdr>
        <w:top w:val="none" w:sz="0" w:space="0" w:color="auto"/>
        <w:left w:val="none" w:sz="0" w:space="0" w:color="auto"/>
        <w:bottom w:val="none" w:sz="0" w:space="0" w:color="auto"/>
        <w:right w:val="none" w:sz="0" w:space="0" w:color="auto"/>
      </w:divBdr>
      <w:divsChild>
        <w:div w:id="553548270">
          <w:marLeft w:val="0"/>
          <w:marRight w:val="0"/>
          <w:marTop w:val="0"/>
          <w:marBottom w:val="0"/>
          <w:divBdr>
            <w:top w:val="none" w:sz="0" w:space="0" w:color="auto"/>
            <w:left w:val="none" w:sz="0" w:space="0" w:color="auto"/>
            <w:bottom w:val="none" w:sz="0" w:space="0" w:color="auto"/>
            <w:right w:val="none" w:sz="0" w:space="0" w:color="auto"/>
          </w:divBdr>
        </w:div>
      </w:divsChild>
    </w:div>
    <w:div w:id="1267039685">
      <w:bodyDiv w:val="1"/>
      <w:marLeft w:val="0"/>
      <w:marRight w:val="0"/>
      <w:marTop w:val="0"/>
      <w:marBottom w:val="0"/>
      <w:divBdr>
        <w:top w:val="none" w:sz="0" w:space="0" w:color="auto"/>
        <w:left w:val="none" w:sz="0" w:space="0" w:color="auto"/>
        <w:bottom w:val="none" w:sz="0" w:space="0" w:color="auto"/>
        <w:right w:val="none" w:sz="0" w:space="0" w:color="auto"/>
      </w:divBdr>
    </w:div>
    <w:div w:id="1385327541">
      <w:bodyDiv w:val="1"/>
      <w:marLeft w:val="0"/>
      <w:marRight w:val="0"/>
      <w:marTop w:val="0"/>
      <w:marBottom w:val="0"/>
      <w:divBdr>
        <w:top w:val="none" w:sz="0" w:space="0" w:color="auto"/>
        <w:left w:val="none" w:sz="0" w:space="0" w:color="auto"/>
        <w:bottom w:val="none" w:sz="0" w:space="0" w:color="auto"/>
        <w:right w:val="none" w:sz="0" w:space="0" w:color="auto"/>
      </w:divBdr>
    </w:div>
    <w:div w:id="1447775306">
      <w:bodyDiv w:val="1"/>
      <w:marLeft w:val="0"/>
      <w:marRight w:val="0"/>
      <w:marTop w:val="0"/>
      <w:marBottom w:val="0"/>
      <w:divBdr>
        <w:top w:val="none" w:sz="0" w:space="0" w:color="auto"/>
        <w:left w:val="none" w:sz="0" w:space="0" w:color="auto"/>
        <w:bottom w:val="none" w:sz="0" w:space="0" w:color="auto"/>
        <w:right w:val="none" w:sz="0" w:space="0" w:color="auto"/>
      </w:divBdr>
    </w:div>
    <w:div w:id="1500151455">
      <w:bodyDiv w:val="1"/>
      <w:marLeft w:val="0"/>
      <w:marRight w:val="0"/>
      <w:marTop w:val="0"/>
      <w:marBottom w:val="0"/>
      <w:divBdr>
        <w:top w:val="none" w:sz="0" w:space="0" w:color="auto"/>
        <w:left w:val="none" w:sz="0" w:space="0" w:color="auto"/>
        <w:bottom w:val="none" w:sz="0" w:space="0" w:color="auto"/>
        <w:right w:val="none" w:sz="0" w:space="0" w:color="auto"/>
      </w:divBdr>
    </w:div>
    <w:div w:id="1614314711">
      <w:bodyDiv w:val="1"/>
      <w:marLeft w:val="0"/>
      <w:marRight w:val="0"/>
      <w:marTop w:val="0"/>
      <w:marBottom w:val="0"/>
      <w:divBdr>
        <w:top w:val="none" w:sz="0" w:space="0" w:color="auto"/>
        <w:left w:val="none" w:sz="0" w:space="0" w:color="auto"/>
        <w:bottom w:val="none" w:sz="0" w:space="0" w:color="auto"/>
        <w:right w:val="none" w:sz="0" w:space="0" w:color="auto"/>
      </w:divBdr>
    </w:div>
    <w:div w:id="1672640431">
      <w:bodyDiv w:val="1"/>
      <w:marLeft w:val="0"/>
      <w:marRight w:val="0"/>
      <w:marTop w:val="0"/>
      <w:marBottom w:val="0"/>
      <w:divBdr>
        <w:top w:val="none" w:sz="0" w:space="0" w:color="auto"/>
        <w:left w:val="none" w:sz="0" w:space="0" w:color="auto"/>
        <w:bottom w:val="none" w:sz="0" w:space="0" w:color="auto"/>
        <w:right w:val="none" w:sz="0" w:space="0" w:color="auto"/>
      </w:divBdr>
    </w:div>
    <w:div w:id="1673529719">
      <w:bodyDiv w:val="1"/>
      <w:marLeft w:val="0"/>
      <w:marRight w:val="0"/>
      <w:marTop w:val="0"/>
      <w:marBottom w:val="0"/>
      <w:divBdr>
        <w:top w:val="none" w:sz="0" w:space="0" w:color="auto"/>
        <w:left w:val="none" w:sz="0" w:space="0" w:color="auto"/>
        <w:bottom w:val="none" w:sz="0" w:space="0" w:color="auto"/>
        <w:right w:val="none" w:sz="0" w:space="0" w:color="auto"/>
      </w:divBdr>
    </w:div>
    <w:div w:id="1704206536">
      <w:bodyDiv w:val="1"/>
      <w:marLeft w:val="0"/>
      <w:marRight w:val="0"/>
      <w:marTop w:val="0"/>
      <w:marBottom w:val="0"/>
      <w:divBdr>
        <w:top w:val="none" w:sz="0" w:space="0" w:color="auto"/>
        <w:left w:val="none" w:sz="0" w:space="0" w:color="auto"/>
        <w:bottom w:val="none" w:sz="0" w:space="0" w:color="auto"/>
        <w:right w:val="none" w:sz="0" w:space="0" w:color="auto"/>
      </w:divBdr>
    </w:div>
    <w:div w:id="1785421940">
      <w:bodyDiv w:val="1"/>
      <w:marLeft w:val="0"/>
      <w:marRight w:val="0"/>
      <w:marTop w:val="0"/>
      <w:marBottom w:val="0"/>
      <w:divBdr>
        <w:top w:val="none" w:sz="0" w:space="0" w:color="auto"/>
        <w:left w:val="none" w:sz="0" w:space="0" w:color="auto"/>
        <w:bottom w:val="none" w:sz="0" w:space="0" w:color="auto"/>
        <w:right w:val="none" w:sz="0" w:space="0" w:color="auto"/>
      </w:divBdr>
    </w:div>
    <w:div w:id="1835952522">
      <w:bodyDiv w:val="1"/>
      <w:marLeft w:val="0"/>
      <w:marRight w:val="0"/>
      <w:marTop w:val="0"/>
      <w:marBottom w:val="0"/>
      <w:divBdr>
        <w:top w:val="none" w:sz="0" w:space="0" w:color="auto"/>
        <w:left w:val="none" w:sz="0" w:space="0" w:color="auto"/>
        <w:bottom w:val="none" w:sz="0" w:space="0" w:color="auto"/>
        <w:right w:val="none" w:sz="0" w:space="0" w:color="auto"/>
      </w:divBdr>
      <w:divsChild>
        <w:div w:id="1275747831">
          <w:marLeft w:val="0"/>
          <w:marRight w:val="0"/>
          <w:marTop w:val="0"/>
          <w:marBottom w:val="0"/>
          <w:divBdr>
            <w:top w:val="none" w:sz="0" w:space="0" w:color="auto"/>
            <w:left w:val="none" w:sz="0" w:space="0" w:color="auto"/>
            <w:bottom w:val="none" w:sz="0" w:space="0" w:color="auto"/>
            <w:right w:val="none" w:sz="0" w:space="0" w:color="auto"/>
          </w:divBdr>
        </w:div>
      </w:divsChild>
    </w:div>
    <w:div w:id="2056156182">
      <w:bodyDiv w:val="1"/>
      <w:marLeft w:val="0"/>
      <w:marRight w:val="0"/>
      <w:marTop w:val="0"/>
      <w:marBottom w:val="0"/>
      <w:divBdr>
        <w:top w:val="none" w:sz="0" w:space="0" w:color="auto"/>
        <w:left w:val="none" w:sz="0" w:space="0" w:color="auto"/>
        <w:bottom w:val="none" w:sz="0" w:space="0" w:color="auto"/>
        <w:right w:val="none" w:sz="0" w:space="0" w:color="auto"/>
      </w:divBdr>
    </w:div>
    <w:div w:id="2059625859">
      <w:bodyDiv w:val="1"/>
      <w:marLeft w:val="0"/>
      <w:marRight w:val="0"/>
      <w:marTop w:val="0"/>
      <w:marBottom w:val="0"/>
      <w:divBdr>
        <w:top w:val="none" w:sz="0" w:space="0" w:color="auto"/>
        <w:left w:val="none" w:sz="0" w:space="0" w:color="auto"/>
        <w:bottom w:val="none" w:sz="0" w:space="0" w:color="auto"/>
        <w:right w:val="none" w:sz="0" w:space="0" w:color="auto"/>
      </w:divBdr>
      <w:divsChild>
        <w:div w:id="29571816">
          <w:marLeft w:val="0"/>
          <w:marRight w:val="0"/>
          <w:marTop w:val="0"/>
          <w:marBottom w:val="0"/>
          <w:divBdr>
            <w:top w:val="none" w:sz="0" w:space="0" w:color="auto"/>
            <w:left w:val="none" w:sz="0" w:space="0" w:color="auto"/>
            <w:bottom w:val="none" w:sz="0" w:space="0" w:color="auto"/>
            <w:right w:val="none" w:sz="0" w:space="0" w:color="auto"/>
          </w:divBdr>
        </w:div>
        <w:div w:id="208302026">
          <w:marLeft w:val="0"/>
          <w:marRight w:val="0"/>
          <w:marTop w:val="0"/>
          <w:marBottom w:val="0"/>
          <w:divBdr>
            <w:top w:val="none" w:sz="0" w:space="0" w:color="auto"/>
            <w:left w:val="none" w:sz="0" w:space="0" w:color="auto"/>
            <w:bottom w:val="none" w:sz="0" w:space="0" w:color="auto"/>
            <w:right w:val="none" w:sz="0" w:space="0" w:color="auto"/>
          </w:divBdr>
        </w:div>
        <w:div w:id="259486575">
          <w:marLeft w:val="0"/>
          <w:marRight w:val="0"/>
          <w:marTop w:val="0"/>
          <w:marBottom w:val="0"/>
          <w:divBdr>
            <w:top w:val="none" w:sz="0" w:space="0" w:color="auto"/>
            <w:left w:val="none" w:sz="0" w:space="0" w:color="auto"/>
            <w:bottom w:val="none" w:sz="0" w:space="0" w:color="auto"/>
            <w:right w:val="none" w:sz="0" w:space="0" w:color="auto"/>
          </w:divBdr>
        </w:div>
        <w:div w:id="360740188">
          <w:marLeft w:val="0"/>
          <w:marRight w:val="0"/>
          <w:marTop w:val="0"/>
          <w:marBottom w:val="0"/>
          <w:divBdr>
            <w:top w:val="none" w:sz="0" w:space="0" w:color="auto"/>
            <w:left w:val="none" w:sz="0" w:space="0" w:color="auto"/>
            <w:bottom w:val="none" w:sz="0" w:space="0" w:color="auto"/>
            <w:right w:val="none" w:sz="0" w:space="0" w:color="auto"/>
          </w:divBdr>
        </w:div>
        <w:div w:id="460270308">
          <w:marLeft w:val="0"/>
          <w:marRight w:val="0"/>
          <w:marTop w:val="0"/>
          <w:marBottom w:val="0"/>
          <w:divBdr>
            <w:top w:val="none" w:sz="0" w:space="0" w:color="auto"/>
            <w:left w:val="none" w:sz="0" w:space="0" w:color="auto"/>
            <w:bottom w:val="none" w:sz="0" w:space="0" w:color="auto"/>
            <w:right w:val="none" w:sz="0" w:space="0" w:color="auto"/>
          </w:divBdr>
        </w:div>
        <w:div w:id="558130049">
          <w:marLeft w:val="0"/>
          <w:marRight w:val="0"/>
          <w:marTop w:val="0"/>
          <w:marBottom w:val="0"/>
          <w:divBdr>
            <w:top w:val="none" w:sz="0" w:space="0" w:color="auto"/>
            <w:left w:val="none" w:sz="0" w:space="0" w:color="auto"/>
            <w:bottom w:val="none" w:sz="0" w:space="0" w:color="auto"/>
            <w:right w:val="none" w:sz="0" w:space="0" w:color="auto"/>
          </w:divBdr>
        </w:div>
        <w:div w:id="807354417">
          <w:marLeft w:val="0"/>
          <w:marRight w:val="0"/>
          <w:marTop w:val="0"/>
          <w:marBottom w:val="0"/>
          <w:divBdr>
            <w:top w:val="none" w:sz="0" w:space="0" w:color="auto"/>
            <w:left w:val="none" w:sz="0" w:space="0" w:color="auto"/>
            <w:bottom w:val="none" w:sz="0" w:space="0" w:color="auto"/>
            <w:right w:val="none" w:sz="0" w:space="0" w:color="auto"/>
          </w:divBdr>
        </w:div>
        <w:div w:id="826016558">
          <w:marLeft w:val="0"/>
          <w:marRight w:val="0"/>
          <w:marTop w:val="0"/>
          <w:marBottom w:val="0"/>
          <w:divBdr>
            <w:top w:val="none" w:sz="0" w:space="0" w:color="auto"/>
            <w:left w:val="none" w:sz="0" w:space="0" w:color="auto"/>
            <w:bottom w:val="none" w:sz="0" w:space="0" w:color="auto"/>
            <w:right w:val="none" w:sz="0" w:space="0" w:color="auto"/>
          </w:divBdr>
        </w:div>
        <w:div w:id="1000546810">
          <w:marLeft w:val="0"/>
          <w:marRight w:val="0"/>
          <w:marTop w:val="0"/>
          <w:marBottom w:val="0"/>
          <w:divBdr>
            <w:top w:val="none" w:sz="0" w:space="0" w:color="auto"/>
            <w:left w:val="none" w:sz="0" w:space="0" w:color="auto"/>
            <w:bottom w:val="none" w:sz="0" w:space="0" w:color="auto"/>
            <w:right w:val="none" w:sz="0" w:space="0" w:color="auto"/>
          </w:divBdr>
        </w:div>
        <w:div w:id="1115248616">
          <w:marLeft w:val="0"/>
          <w:marRight w:val="0"/>
          <w:marTop w:val="0"/>
          <w:marBottom w:val="0"/>
          <w:divBdr>
            <w:top w:val="none" w:sz="0" w:space="0" w:color="auto"/>
            <w:left w:val="none" w:sz="0" w:space="0" w:color="auto"/>
            <w:bottom w:val="none" w:sz="0" w:space="0" w:color="auto"/>
            <w:right w:val="none" w:sz="0" w:space="0" w:color="auto"/>
          </w:divBdr>
        </w:div>
        <w:div w:id="1119838097">
          <w:marLeft w:val="0"/>
          <w:marRight w:val="0"/>
          <w:marTop w:val="0"/>
          <w:marBottom w:val="0"/>
          <w:divBdr>
            <w:top w:val="none" w:sz="0" w:space="0" w:color="auto"/>
            <w:left w:val="none" w:sz="0" w:space="0" w:color="auto"/>
            <w:bottom w:val="none" w:sz="0" w:space="0" w:color="auto"/>
            <w:right w:val="none" w:sz="0" w:space="0" w:color="auto"/>
          </w:divBdr>
        </w:div>
        <w:div w:id="1422608644">
          <w:marLeft w:val="0"/>
          <w:marRight w:val="0"/>
          <w:marTop w:val="0"/>
          <w:marBottom w:val="0"/>
          <w:divBdr>
            <w:top w:val="none" w:sz="0" w:space="0" w:color="auto"/>
            <w:left w:val="none" w:sz="0" w:space="0" w:color="auto"/>
            <w:bottom w:val="none" w:sz="0" w:space="0" w:color="auto"/>
            <w:right w:val="none" w:sz="0" w:space="0" w:color="auto"/>
          </w:divBdr>
        </w:div>
        <w:div w:id="1435976450">
          <w:marLeft w:val="0"/>
          <w:marRight w:val="0"/>
          <w:marTop w:val="0"/>
          <w:marBottom w:val="0"/>
          <w:divBdr>
            <w:top w:val="none" w:sz="0" w:space="0" w:color="auto"/>
            <w:left w:val="none" w:sz="0" w:space="0" w:color="auto"/>
            <w:bottom w:val="none" w:sz="0" w:space="0" w:color="auto"/>
            <w:right w:val="none" w:sz="0" w:space="0" w:color="auto"/>
          </w:divBdr>
        </w:div>
        <w:div w:id="1621255908">
          <w:marLeft w:val="0"/>
          <w:marRight w:val="0"/>
          <w:marTop w:val="0"/>
          <w:marBottom w:val="0"/>
          <w:divBdr>
            <w:top w:val="none" w:sz="0" w:space="0" w:color="auto"/>
            <w:left w:val="none" w:sz="0" w:space="0" w:color="auto"/>
            <w:bottom w:val="none" w:sz="0" w:space="0" w:color="auto"/>
            <w:right w:val="none" w:sz="0" w:space="0" w:color="auto"/>
          </w:divBdr>
        </w:div>
        <w:div w:id="1753428538">
          <w:marLeft w:val="0"/>
          <w:marRight w:val="0"/>
          <w:marTop w:val="0"/>
          <w:marBottom w:val="0"/>
          <w:divBdr>
            <w:top w:val="none" w:sz="0" w:space="0" w:color="auto"/>
            <w:left w:val="none" w:sz="0" w:space="0" w:color="auto"/>
            <w:bottom w:val="none" w:sz="0" w:space="0" w:color="auto"/>
            <w:right w:val="none" w:sz="0" w:space="0" w:color="auto"/>
          </w:divBdr>
        </w:div>
        <w:div w:id="1823614225">
          <w:marLeft w:val="0"/>
          <w:marRight w:val="0"/>
          <w:marTop w:val="0"/>
          <w:marBottom w:val="0"/>
          <w:divBdr>
            <w:top w:val="none" w:sz="0" w:space="0" w:color="auto"/>
            <w:left w:val="none" w:sz="0" w:space="0" w:color="auto"/>
            <w:bottom w:val="none" w:sz="0" w:space="0" w:color="auto"/>
            <w:right w:val="none" w:sz="0" w:space="0" w:color="auto"/>
          </w:divBdr>
        </w:div>
        <w:div w:id="1993094141">
          <w:marLeft w:val="0"/>
          <w:marRight w:val="0"/>
          <w:marTop w:val="0"/>
          <w:marBottom w:val="0"/>
          <w:divBdr>
            <w:top w:val="none" w:sz="0" w:space="0" w:color="auto"/>
            <w:left w:val="none" w:sz="0" w:space="0" w:color="auto"/>
            <w:bottom w:val="none" w:sz="0" w:space="0" w:color="auto"/>
            <w:right w:val="none" w:sz="0" w:space="0" w:color="auto"/>
          </w:divBdr>
        </w:div>
        <w:div w:id="2015063498">
          <w:marLeft w:val="0"/>
          <w:marRight w:val="0"/>
          <w:marTop w:val="0"/>
          <w:marBottom w:val="0"/>
          <w:divBdr>
            <w:top w:val="none" w:sz="0" w:space="0" w:color="auto"/>
            <w:left w:val="none" w:sz="0" w:space="0" w:color="auto"/>
            <w:bottom w:val="none" w:sz="0" w:space="0" w:color="auto"/>
            <w:right w:val="none" w:sz="0" w:space="0" w:color="auto"/>
          </w:divBdr>
        </w:div>
        <w:div w:id="2050834426">
          <w:marLeft w:val="0"/>
          <w:marRight w:val="0"/>
          <w:marTop w:val="0"/>
          <w:marBottom w:val="0"/>
          <w:divBdr>
            <w:top w:val="none" w:sz="0" w:space="0" w:color="auto"/>
            <w:left w:val="none" w:sz="0" w:space="0" w:color="auto"/>
            <w:bottom w:val="none" w:sz="0" w:space="0" w:color="auto"/>
            <w:right w:val="none" w:sz="0" w:space="0" w:color="auto"/>
          </w:divBdr>
        </w:div>
        <w:div w:id="2092042556">
          <w:marLeft w:val="0"/>
          <w:marRight w:val="0"/>
          <w:marTop w:val="0"/>
          <w:marBottom w:val="0"/>
          <w:divBdr>
            <w:top w:val="none" w:sz="0" w:space="0" w:color="auto"/>
            <w:left w:val="none" w:sz="0" w:space="0" w:color="auto"/>
            <w:bottom w:val="none" w:sz="0" w:space="0" w:color="auto"/>
            <w:right w:val="none" w:sz="0" w:space="0" w:color="auto"/>
          </w:divBdr>
        </w:div>
      </w:divsChild>
    </w:div>
    <w:div w:id="20732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imate-standard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4FB0-7536-47F9-85BA-14D4A8F7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9791</Words>
  <Characters>55810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ebeling</dc:creator>
  <cp:lastModifiedBy>Anisha Ahmed</cp:lastModifiedBy>
  <cp:revision>4</cp:revision>
  <cp:lastPrinted>2014-02-27T02:06:00Z</cp:lastPrinted>
  <dcterms:created xsi:type="dcterms:W3CDTF">2019-01-23T15:22:00Z</dcterms:created>
  <dcterms:modified xsi:type="dcterms:W3CDTF">2019-01-25T14:45:00Z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m.virahsawmy@unsw.edu.au@www.mendeley.com</vt:lpwstr>
  </property>
  <property fmtid="{D5CDD505-2E9C-101B-9397-08002B2CF9AE}" pid="4" name="Mendeley Citation Style_1">
    <vt:lpwstr>http://www.zotero.org/styles/journal-of-applied-ecology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http://www.zotero.org/styles/conservation-biology</vt:lpwstr>
  </property>
  <property fmtid="{D5CDD505-2E9C-101B-9397-08002B2CF9AE}" pid="16" name="Mendeley Recent Style Name 5_1">
    <vt:lpwstr>Conservation Biology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http://www.zotero.org/styles/journal-of-applied-ecology</vt:lpwstr>
  </property>
  <property fmtid="{D5CDD505-2E9C-101B-9397-08002B2CF9AE}" pid="22" name="Mendeley Recent Style Name 8_1">
    <vt:lpwstr>Journal of Applied Ecology</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(note with bibliography)</vt:lpwstr>
  </property>
</Properties>
</file>