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05EEC" w14:textId="25816440" w:rsidR="006103DC" w:rsidRDefault="00796A44" w:rsidP="00DE1CD6">
      <w:pPr>
        <w:rPr>
          <w:rFonts w:ascii="Cambria" w:hAnsi="Cambria"/>
          <w:sz w:val="22"/>
          <w:szCs w:val="22"/>
          <w:lang w:val="en-US"/>
        </w:rPr>
      </w:pPr>
      <w:r w:rsidRPr="00B44233">
        <w:rPr>
          <w:rFonts w:ascii="Cambria" w:hAnsi="Cambria"/>
          <w:sz w:val="22"/>
          <w:szCs w:val="22"/>
        </w:rPr>
        <w:t xml:space="preserve">Review of </w:t>
      </w:r>
      <w:r w:rsidR="00B44233">
        <w:rPr>
          <w:rFonts w:ascii="Cambria" w:hAnsi="Cambria"/>
          <w:sz w:val="22"/>
          <w:szCs w:val="22"/>
        </w:rPr>
        <w:t xml:space="preserve">Walter N. </w:t>
      </w:r>
      <w:proofErr w:type="spellStart"/>
      <w:r w:rsidR="00B44233">
        <w:rPr>
          <w:rFonts w:ascii="Cambria" w:hAnsi="Cambria"/>
          <w:sz w:val="22"/>
          <w:szCs w:val="22"/>
        </w:rPr>
        <w:t>Hakala</w:t>
      </w:r>
      <w:proofErr w:type="spellEnd"/>
      <w:r w:rsidR="00B44233">
        <w:rPr>
          <w:rFonts w:ascii="Cambria" w:hAnsi="Cambria"/>
          <w:sz w:val="22"/>
          <w:szCs w:val="22"/>
        </w:rPr>
        <w:t xml:space="preserve">, </w:t>
      </w:r>
      <w:r w:rsidR="00B44233">
        <w:rPr>
          <w:rFonts w:ascii="Cambria" w:hAnsi="Cambria"/>
          <w:i/>
          <w:iCs/>
          <w:sz w:val="22"/>
          <w:szCs w:val="22"/>
        </w:rPr>
        <w:t>Negotiating Languages: Urdu, Hindi, and the Definition of Modern South Asia</w:t>
      </w:r>
      <w:r w:rsidR="00B44233">
        <w:rPr>
          <w:rFonts w:ascii="Cambria" w:hAnsi="Cambria"/>
          <w:sz w:val="22"/>
          <w:szCs w:val="22"/>
        </w:rPr>
        <w:t xml:space="preserve">. New York: Columbia, </w:t>
      </w:r>
      <w:r w:rsidR="00DE1CD6">
        <w:rPr>
          <w:rFonts w:ascii="Cambria" w:hAnsi="Cambria"/>
          <w:sz w:val="22"/>
          <w:szCs w:val="22"/>
        </w:rPr>
        <w:t xml:space="preserve">August </w:t>
      </w:r>
      <w:r w:rsidR="00B44233">
        <w:rPr>
          <w:rFonts w:ascii="Cambria" w:hAnsi="Cambria"/>
          <w:sz w:val="22"/>
          <w:szCs w:val="22"/>
        </w:rPr>
        <w:t>2016.</w:t>
      </w:r>
      <w:r w:rsidR="00DE1CD6">
        <w:rPr>
          <w:rFonts w:ascii="Cambria" w:hAnsi="Cambria"/>
          <w:sz w:val="22"/>
          <w:szCs w:val="22"/>
        </w:rPr>
        <w:t xml:space="preserve"> ISBN: </w:t>
      </w:r>
      <w:r w:rsidR="00DE1CD6" w:rsidRPr="00DE1CD6">
        <w:rPr>
          <w:rFonts w:ascii="Cambria" w:hAnsi="Cambria"/>
          <w:sz w:val="22"/>
          <w:szCs w:val="22"/>
          <w:lang w:val="en-US"/>
        </w:rPr>
        <w:t>978</w:t>
      </w:r>
      <w:r w:rsidR="00744459">
        <w:rPr>
          <w:rFonts w:ascii="Cambria" w:hAnsi="Cambria"/>
          <w:sz w:val="22"/>
          <w:szCs w:val="22"/>
          <w:lang w:val="en-US"/>
        </w:rPr>
        <w:t>-</w:t>
      </w:r>
      <w:r w:rsidR="00DE1CD6" w:rsidRPr="00DE1CD6">
        <w:rPr>
          <w:rFonts w:ascii="Cambria" w:hAnsi="Cambria"/>
          <w:sz w:val="22"/>
          <w:szCs w:val="22"/>
          <w:lang w:val="en-US"/>
        </w:rPr>
        <w:t>0</w:t>
      </w:r>
      <w:r w:rsidR="00744459">
        <w:rPr>
          <w:rFonts w:ascii="Cambria" w:hAnsi="Cambria"/>
          <w:sz w:val="22"/>
          <w:szCs w:val="22"/>
          <w:lang w:val="en-US"/>
        </w:rPr>
        <w:t>-</w:t>
      </w:r>
      <w:r w:rsidR="00DE1CD6" w:rsidRPr="00DE1CD6">
        <w:rPr>
          <w:rFonts w:ascii="Cambria" w:hAnsi="Cambria"/>
          <w:sz w:val="22"/>
          <w:szCs w:val="22"/>
          <w:lang w:val="en-US"/>
        </w:rPr>
        <w:t>231</w:t>
      </w:r>
      <w:r w:rsidR="00744459">
        <w:rPr>
          <w:rFonts w:ascii="Cambria" w:hAnsi="Cambria"/>
          <w:sz w:val="22"/>
          <w:szCs w:val="22"/>
          <w:lang w:val="en-US"/>
        </w:rPr>
        <w:t>-</w:t>
      </w:r>
      <w:r w:rsidR="00DE1CD6" w:rsidRPr="00DE1CD6">
        <w:rPr>
          <w:rFonts w:ascii="Cambria" w:hAnsi="Cambria"/>
          <w:sz w:val="22"/>
          <w:szCs w:val="22"/>
          <w:lang w:val="en-US"/>
        </w:rPr>
        <w:t>17830</w:t>
      </w:r>
      <w:r w:rsidR="00744459">
        <w:rPr>
          <w:rFonts w:ascii="Cambria" w:hAnsi="Cambria"/>
          <w:sz w:val="22"/>
          <w:szCs w:val="22"/>
          <w:lang w:val="en-US"/>
        </w:rPr>
        <w:t>-</w:t>
      </w:r>
      <w:r w:rsidR="00DE1CD6" w:rsidRPr="00DE1CD6">
        <w:rPr>
          <w:rFonts w:ascii="Cambria" w:hAnsi="Cambria"/>
          <w:sz w:val="22"/>
          <w:szCs w:val="22"/>
          <w:lang w:val="en-US"/>
        </w:rPr>
        <w:t>3</w:t>
      </w:r>
      <w:r w:rsidR="00DE1CD6">
        <w:rPr>
          <w:rFonts w:ascii="Cambria" w:hAnsi="Cambria"/>
          <w:sz w:val="22"/>
          <w:szCs w:val="22"/>
          <w:lang w:val="en-US"/>
        </w:rPr>
        <w:t xml:space="preserve"> (Hardcover); </w:t>
      </w:r>
      <w:r w:rsidR="00DE1CD6" w:rsidRPr="00DE1CD6">
        <w:rPr>
          <w:rFonts w:ascii="Cambria" w:hAnsi="Cambria"/>
          <w:sz w:val="22"/>
          <w:szCs w:val="22"/>
          <w:lang w:val="en-US"/>
        </w:rPr>
        <w:t>978</w:t>
      </w:r>
      <w:r w:rsidR="00744459">
        <w:rPr>
          <w:rFonts w:ascii="Cambria" w:hAnsi="Cambria"/>
          <w:sz w:val="22"/>
          <w:szCs w:val="22"/>
          <w:lang w:val="en-US"/>
        </w:rPr>
        <w:t>-</w:t>
      </w:r>
      <w:r w:rsidR="00DE1CD6" w:rsidRPr="00DE1CD6">
        <w:rPr>
          <w:rFonts w:ascii="Cambria" w:hAnsi="Cambria"/>
          <w:sz w:val="22"/>
          <w:szCs w:val="22"/>
          <w:lang w:val="en-US"/>
        </w:rPr>
        <w:t>0</w:t>
      </w:r>
      <w:r w:rsidR="00744459">
        <w:rPr>
          <w:rFonts w:ascii="Cambria" w:hAnsi="Cambria"/>
          <w:sz w:val="22"/>
          <w:szCs w:val="22"/>
          <w:lang w:val="en-US"/>
        </w:rPr>
        <w:t>-</w:t>
      </w:r>
      <w:r w:rsidR="00DE1CD6" w:rsidRPr="00DE1CD6">
        <w:rPr>
          <w:rFonts w:ascii="Cambria" w:hAnsi="Cambria"/>
          <w:sz w:val="22"/>
          <w:szCs w:val="22"/>
          <w:lang w:val="en-US"/>
        </w:rPr>
        <w:t>231</w:t>
      </w:r>
      <w:r w:rsidR="00744459">
        <w:rPr>
          <w:rFonts w:ascii="Cambria" w:hAnsi="Cambria"/>
          <w:sz w:val="22"/>
          <w:szCs w:val="22"/>
          <w:lang w:val="en-US"/>
        </w:rPr>
        <w:t>-</w:t>
      </w:r>
      <w:r w:rsidR="00DE1CD6" w:rsidRPr="00DE1CD6">
        <w:rPr>
          <w:rFonts w:ascii="Cambria" w:hAnsi="Cambria"/>
          <w:sz w:val="22"/>
          <w:szCs w:val="22"/>
          <w:lang w:val="en-US"/>
        </w:rPr>
        <w:t>54212</w:t>
      </w:r>
      <w:r w:rsidR="00744459">
        <w:rPr>
          <w:rFonts w:ascii="Cambria" w:hAnsi="Cambria"/>
          <w:sz w:val="22"/>
          <w:szCs w:val="22"/>
          <w:lang w:val="en-US"/>
        </w:rPr>
        <w:t>-</w:t>
      </w:r>
      <w:r w:rsidR="00DE1CD6" w:rsidRPr="00DE1CD6">
        <w:rPr>
          <w:rFonts w:ascii="Cambria" w:hAnsi="Cambria"/>
          <w:sz w:val="22"/>
          <w:szCs w:val="22"/>
          <w:lang w:val="en-US"/>
        </w:rPr>
        <w:t>8</w:t>
      </w:r>
      <w:r w:rsidR="00DE1CD6">
        <w:rPr>
          <w:rFonts w:ascii="Cambria" w:hAnsi="Cambria"/>
          <w:sz w:val="22"/>
          <w:szCs w:val="22"/>
          <w:lang w:val="en-US"/>
        </w:rPr>
        <w:t xml:space="preserve"> (e-book). </w:t>
      </w:r>
      <w:r w:rsidR="00744459">
        <w:rPr>
          <w:rFonts w:ascii="Cambria" w:hAnsi="Cambria"/>
          <w:sz w:val="22"/>
          <w:szCs w:val="22"/>
          <w:lang w:val="en-US"/>
        </w:rPr>
        <w:t>US$65.00/£54.95.</w:t>
      </w:r>
    </w:p>
    <w:p w14:paraId="2CC53B51" w14:textId="77777777" w:rsidR="00744459" w:rsidRPr="00DE1CD6" w:rsidRDefault="00744459" w:rsidP="00DE1CD6">
      <w:pPr>
        <w:rPr>
          <w:rFonts w:ascii="Cambria" w:hAnsi="Cambria"/>
          <w:sz w:val="22"/>
          <w:szCs w:val="22"/>
          <w:lang w:val="en-US"/>
        </w:rPr>
      </w:pPr>
    </w:p>
    <w:p w14:paraId="3A6643CC" w14:textId="77777777" w:rsidR="00B44233" w:rsidRDefault="00B44233">
      <w:pPr>
        <w:rPr>
          <w:rFonts w:ascii="Cambria" w:hAnsi="Cambria"/>
          <w:sz w:val="22"/>
          <w:szCs w:val="22"/>
        </w:rPr>
      </w:pPr>
      <w:r>
        <w:rPr>
          <w:rFonts w:ascii="Cambria" w:hAnsi="Cambria"/>
          <w:sz w:val="22"/>
          <w:szCs w:val="22"/>
        </w:rPr>
        <w:t xml:space="preserve">David Lunn, </w:t>
      </w:r>
      <w:r>
        <w:rPr>
          <w:rFonts w:ascii="Cambria" w:hAnsi="Cambria"/>
          <w:i/>
          <w:iCs/>
          <w:sz w:val="22"/>
          <w:szCs w:val="22"/>
        </w:rPr>
        <w:t>SOAS University of London</w:t>
      </w:r>
    </w:p>
    <w:p w14:paraId="0043CE91" w14:textId="77777777" w:rsidR="00B44233" w:rsidRDefault="00B44233">
      <w:pPr>
        <w:rPr>
          <w:rFonts w:ascii="Cambria" w:hAnsi="Cambria"/>
          <w:i/>
          <w:iCs/>
          <w:sz w:val="22"/>
          <w:szCs w:val="22"/>
        </w:rPr>
      </w:pPr>
    </w:p>
    <w:p w14:paraId="445841E7" w14:textId="125D8D6A" w:rsidR="00B44233" w:rsidRDefault="00E15FB0" w:rsidP="00657363">
      <w:pPr>
        <w:rPr>
          <w:rFonts w:ascii="Cambria" w:hAnsi="Cambria"/>
          <w:sz w:val="22"/>
          <w:szCs w:val="22"/>
        </w:rPr>
      </w:pPr>
      <w:r>
        <w:rPr>
          <w:rFonts w:ascii="Cambria" w:hAnsi="Cambria"/>
          <w:sz w:val="22"/>
          <w:szCs w:val="22"/>
        </w:rPr>
        <w:t xml:space="preserve">Walter </w:t>
      </w:r>
      <w:proofErr w:type="spellStart"/>
      <w:r>
        <w:rPr>
          <w:rFonts w:ascii="Cambria" w:hAnsi="Cambria"/>
          <w:sz w:val="22"/>
          <w:szCs w:val="22"/>
        </w:rPr>
        <w:t>Hakala’s</w:t>
      </w:r>
      <w:proofErr w:type="spellEnd"/>
      <w:r>
        <w:rPr>
          <w:rFonts w:ascii="Cambria" w:hAnsi="Cambria"/>
          <w:sz w:val="22"/>
          <w:szCs w:val="22"/>
        </w:rPr>
        <w:t xml:space="preserve"> </w:t>
      </w:r>
      <w:r w:rsidR="00B44233">
        <w:rPr>
          <w:rFonts w:ascii="Cambria" w:hAnsi="Cambria"/>
          <w:i/>
          <w:iCs/>
          <w:sz w:val="22"/>
          <w:szCs w:val="22"/>
        </w:rPr>
        <w:t>Negotiating Languages</w:t>
      </w:r>
      <w:r w:rsidR="00B44233">
        <w:rPr>
          <w:rFonts w:ascii="Cambria" w:hAnsi="Cambria"/>
          <w:sz w:val="22"/>
          <w:szCs w:val="22"/>
        </w:rPr>
        <w:t xml:space="preserve"> opens with a personal recollection of the author’s </w:t>
      </w:r>
      <w:r w:rsidR="005A2DB4">
        <w:rPr>
          <w:rFonts w:ascii="Cambria" w:hAnsi="Cambria"/>
          <w:sz w:val="22"/>
          <w:szCs w:val="22"/>
        </w:rPr>
        <w:t xml:space="preserve">visit to a bookshop “in Urdu Bazaar…adjacent to the </w:t>
      </w:r>
      <w:proofErr w:type="spellStart"/>
      <w:proofErr w:type="gramStart"/>
      <w:r w:rsidR="005A2DB4">
        <w:rPr>
          <w:rFonts w:ascii="Cambria" w:hAnsi="Cambria"/>
          <w:sz w:val="22"/>
          <w:szCs w:val="22"/>
        </w:rPr>
        <w:t>Jām‘</w:t>
      </w:r>
      <w:proofErr w:type="gramEnd"/>
      <w:r w:rsidR="005A2DB4">
        <w:rPr>
          <w:rFonts w:ascii="Cambria" w:hAnsi="Cambria"/>
          <w:sz w:val="22"/>
          <w:szCs w:val="22"/>
        </w:rPr>
        <w:t>ě</w:t>
      </w:r>
      <w:proofErr w:type="spellEnd"/>
      <w:r w:rsidR="005A2DB4">
        <w:rPr>
          <w:rFonts w:ascii="Cambria" w:hAnsi="Cambria"/>
          <w:sz w:val="22"/>
          <w:szCs w:val="22"/>
        </w:rPr>
        <w:t xml:space="preserve"> Masjid, the massive Friday Mosque…”</w:t>
      </w:r>
      <w:r w:rsidR="003353C9">
        <w:rPr>
          <w:rFonts w:ascii="Cambria" w:hAnsi="Cambria"/>
          <w:sz w:val="22"/>
          <w:szCs w:val="22"/>
        </w:rPr>
        <w:t xml:space="preserve"> (1)</w:t>
      </w:r>
      <w:r w:rsidR="005A2DB4">
        <w:rPr>
          <w:rFonts w:ascii="Cambria" w:hAnsi="Cambria"/>
          <w:sz w:val="22"/>
          <w:szCs w:val="22"/>
        </w:rPr>
        <w:t xml:space="preserve">. I was brought up short: was I being teased, or deliberately provoked? The everyday </w:t>
      </w:r>
      <w:r w:rsidR="0083688D">
        <w:rPr>
          <w:rFonts w:ascii="Cambria" w:hAnsi="Cambria"/>
          <w:sz w:val="22"/>
          <w:szCs w:val="22"/>
        </w:rPr>
        <w:t xml:space="preserve">English </w:t>
      </w:r>
      <w:r w:rsidR="005A2DB4">
        <w:rPr>
          <w:rFonts w:ascii="Cambria" w:hAnsi="Cambria"/>
          <w:sz w:val="22"/>
          <w:szCs w:val="22"/>
        </w:rPr>
        <w:t>reference to “Friday” mosques is of course itself an accident of etymology</w:t>
      </w:r>
      <w:r>
        <w:rPr>
          <w:rFonts w:ascii="Cambria" w:hAnsi="Cambria"/>
          <w:sz w:val="22"/>
          <w:szCs w:val="22"/>
        </w:rPr>
        <w:t xml:space="preserve"> and two very similar-sounding words</w:t>
      </w:r>
      <w:r w:rsidR="005A2DB4">
        <w:rPr>
          <w:rFonts w:ascii="Cambria" w:hAnsi="Cambria"/>
          <w:sz w:val="22"/>
          <w:szCs w:val="22"/>
        </w:rPr>
        <w:t xml:space="preserve">: </w:t>
      </w:r>
      <w:proofErr w:type="spellStart"/>
      <w:proofErr w:type="gramStart"/>
      <w:r w:rsidR="005A2DB4">
        <w:rPr>
          <w:rFonts w:ascii="Cambria" w:hAnsi="Cambria"/>
          <w:i/>
          <w:iCs/>
          <w:sz w:val="22"/>
          <w:szCs w:val="22"/>
        </w:rPr>
        <w:t>jum‘</w:t>
      </w:r>
      <w:proofErr w:type="gramEnd"/>
      <w:r w:rsidR="005A2DB4">
        <w:rPr>
          <w:rFonts w:ascii="Cambria" w:hAnsi="Cambria"/>
          <w:i/>
          <w:iCs/>
          <w:sz w:val="22"/>
          <w:szCs w:val="22"/>
        </w:rPr>
        <w:t>ah</w:t>
      </w:r>
      <w:proofErr w:type="spellEnd"/>
      <w:r w:rsidR="005A2DB4">
        <w:rPr>
          <w:rFonts w:ascii="Cambria" w:hAnsi="Cambria"/>
          <w:sz w:val="22"/>
          <w:szCs w:val="22"/>
        </w:rPr>
        <w:t xml:space="preserve"> as the “day of congregation” is distinct from </w:t>
      </w:r>
      <w:proofErr w:type="spellStart"/>
      <w:r w:rsidR="005A2DB4">
        <w:rPr>
          <w:rFonts w:ascii="Cambria" w:hAnsi="Cambria"/>
          <w:i/>
          <w:iCs/>
          <w:sz w:val="22"/>
          <w:szCs w:val="22"/>
        </w:rPr>
        <w:t>jām‘ě</w:t>
      </w:r>
      <w:proofErr w:type="spellEnd"/>
      <w:r w:rsidR="00797F80">
        <w:rPr>
          <w:rFonts w:ascii="Cambria" w:hAnsi="Cambria"/>
          <w:sz w:val="22"/>
          <w:szCs w:val="22"/>
        </w:rPr>
        <w:t xml:space="preserve">, the active participle; Delhi’s, or any, </w:t>
      </w:r>
      <w:proofErr w:type="spellStart"/>
      <w:r w:rsidR="00797F80">
        <w:rPr>
          <w:rFonts w:ascii="Cambria" w:hAnsi="Cambria"/>
          <w:i/>
          <w:iCs/>
          <w:sz w:val="22"/>
          <w:szCs w:val="22"/>
        </w:rPr>
        <w:t>jām‘ě</w:t>
      </w:r>
      <w:proofErr w:type="spellEnd"/>
      <w:r w:rsidR="00797F80">
        <w:rPr>
          <w:rFonts w:ascii="Cambria" w:hAnsi="Cambria"/>
          <w:i/>
          <w:iCs/>
          <w:sz w:val="22"/>
          <w:szCs w:val="22"/>
        </w:rPr>
        <w:t xml:space="preserve"> masjid</w:t>
      </w:r>
      <w:r w:rsidR="00797F80">
        <w:rPr>
          <w:rFonts w:ascii="Cambria" w:hAnsi="Cambria"/>
          <w:sz w:val="22"/>
          <w:szCs w:val="22"/>
        </w:rPr>
        <w:t xml:space="preserve"> </w:t>
      </w:r>
      <w:r w:rsidR="00657363">
        <w:rPr>
          <w:rFonts w:ascii="Cambria" w:hAnsi="Cambria"/>
          <w:sz w:val="22"/>
          <w:szCs w:val="22"/>
        </w:rPr>
        <w:t>should</w:t>
      </w:r>
      <w:r w:rsidR="00797F80">
        <w:rPr>
          <w:rFonts w:ascii="Cambria" w:hAnsi="Cambria"/>
          <w:sz w:val="22"/>
          <w:szCs w:val="22"/>
        </w:rPr>
        <w:t xml:space="preserve"> </w:t>
      </w:r>
      <w:r w:rsidR="00DC1BB7">
        <w:rPr>
          <w:rFonts w:ascii="Cambria" w:hAnsi="Cambria"/>
          <w:sz w:val="22"/>
          <w:szCs w:val="22"/>
        </w:rPr>
        <w:t xml:space="preserve">then </w:t>
      </w:r>
      <w:r w:rsidR="00797F80">
        <w:rPr>
          <w:rFonts w:ascii="Cambria" w:hAnsi="Cambria"/>
          <w:sz w:val="22"/>
          <w:szCs w:val="22"/>
        </w:rPr>
        <w:t>be more properly referred to in English as the “Congregational Mosque”.</w:t>
      </w:r>
    </w:p>
    <w:p w14:paraId="0D2D5438" w14:textId="0C7BF1F7" w:rsidR="000860A6" w:rsidRDefault="00797F80" w:rsidP="008013FA">
      <w:pPr>
        <w:ind w:firstLine="720"/>
        <w:rPr>
          <w:rFonts w:ascii="Cambria" w:hAnsi="Cambria"/>
          <w:sz w:val="22"/>
          <w:szCs w:val="22"/>
        </w:rPr>
      </w:pPr>
      <w:r>
        <w:rPr>
          <w:rFonts w:ascii="Cambria" w:hAnsi="Cambria"/>
          <w:sz w:val="22"/>
          <w:szCs w:val="22"/>
        </w:rPr>
        <w:t>Quickly, I decided it was quite on pu</w:t>
      </w:r>
      <w:bookmarkStart w:id="0" w:name="_GoBack"/>
      <w:bookmarkEnd w:id="0"/>
      <w:r>
        <w:rPr>
          <w:rFonts w:ascii="Cambria" w:hAnsi="Cambria"/>
          <w:sz w:val="22"/>
          <w:szCs w:val="22"/>
        </w:rPr>
        <w:t>rpose, perhaps even a sly aside to the kind of person (ahem) who worries about such things.</w:t>
      </w:r>
      <w:r w:rsidR="008B3EF3">
        <w:rPr>
          <w:rFonts w:ascii="Cambria" w:hAnsi="Cambria"/>
          <w:sz w:val="22"/>
          <w:szCs w:val="22"/>
        </w:rPr>
        <w:t xml:space="preserve"> </w:t>
      </w:r>
      <w:r w:rsidR="00DC1BB7">
        <w:rPr>
          <w:rFonts w:ascii="Cambria" w:hAnsi="Cambria"/>
          <w:sz w:val="22"/>
          <w:szCs w:val="22"/>
        </w:rPr>
        <w:t>T</w:t>
      </w:r>
      <w:r w:rsidR="00E15FB0">
        <w:rPr>
          <w:rFonts w:ascii="Cambria" w:hAnsi="Cambria"/>
          <w:sz w:val="22"/>
          <w:szCs w:val="22"/>
        </w:rPr>
        <w:t>he Urdu name was t</w:t>
      </w:r>
      <w:r w:rsidR="00DC1BB7">
        <w:rPr>
          <w:rFonts w:ascii="Cambria" w:hAnsi="Cambria"/>
          <w:sz w:val="22"/>
          <w:szCs w:val="22"/>
        </w:rPr>
        <w:t>ransliterate</w:t>
      </w:r>
      <w:r w:rsidR="00E15FB0">
        <w:rPr>
          <w:rFonts w:ascii="Cambria" w:hAnsi="Cambria"/>
          <w:sz w:val="22"/>
          <w:szCs w:val="22"/>
        </w:rPr>
        <w:t>d</w:t>
      </w:r>
      <w:r w:rsidR="00DC1BB7">
        <w:rPr>
          <w:rFonts w:ascii="Cambria" w:hAnsi="Cambria"/>
          <w:sz w:val="22"/>
          <w:szCs w:val="22"/>
        </w:rPr>
        <w:t xml:space="preserve"> in precise detail; </w:t>
      </w:r>
      <w:r w:rsidR="00E15FB0">
        <w:rPr>
          <w:rFonts w:ascii="Cambria" w:hAnsi="Cambria"/>
          <w:sz w:val="22"/>
          <w:szCs w:val="22"/>
        </w:rPr>
        <w:t>it was then followed by</w:t>
      </w:r>
      <w:r w:rsidR="00DC1BB7">
        <w:rPr>
          <w:rFonts w:ascii="Cambria" w:hAnsi="Cambria"/>
          <w:sz w:val="22"/>
          <w:szCs w:val="22"/>
        </w:rPr>
        <w:t xml:space="preserve"> the common English term</w:t>
      </w:r>
      <w:r w:rsidR="000A66FC">
        <w:rPr>
          <w:rFonts w:ascii="Cambria" w:hAnsi="Cambria"/>
          <w:sz w:val="22"/>
          <w:szCs w:val="22"/>
        </w:rPr>
        <w:t>—</w:t>
      </w:r>
      <w:r w:rsidR="004964EF">
        <w:rPr>
          <w:rFonts w:ascii="Cambria" w:hAnsi="Cambria"/>
          <w:sz w:val="22"/>
          <w:szCs w:val="22"/>
        </w:rPr>
        <w:t>more than adequate</w:t>
      </w:r>
      <w:r w:rsidR="000A66FC">
        <w:rPr>
          <w:rFonts w:ascii="Cambria" w:hAnsi="Cambria"/>
          <w:sz w:val="22"/>
          <w:szCs w:val="22"/>
        </w:rPr>
        <w:t xml:space="preserve"> </w:t>
      </w:r>
      <w:r w:rsidR="004964EF">
        <w:rPr>
          <w:rFonts w:ascii="Cambria" w:hAnsi="Cambria"/>
          <w:sz w:val="22"/>
          <w:szCs w:val="22"/>
        </w:rPr>
        <w:t>for</w:t>
      </w:r>
      <w:r w:rsidR="000A66FC">
        <w:rPr>
          <w:rFonts w:ascii="Cambria" w:hAnsi="Cambria"/>
          <w:sz w:val="22"/>
          <w:szCs w:val="22"/>
        </w:rPr>
        <w:t xml:space="preserve"> most kinds of reader</w:t>
      </w:r>
      <w:r w:rsidR="00DC1BB7">
        <w:rPr>
          <w:rFonts w:ascii="Cambria" w:hAnsi="Cambria"/>
          <w:sz w:val="22"/>
          <w:szCs w:val="22"/>
        </w:rPr>
        <w:t xml:space="preserve">. </w:t>
      </w:r>
      <w:r w:rsidR="008B3EF3">
        <w:rPr>
          <w:rFonts w:ascii="Cambria" w:hAnsi="Cambria"/>
          <w:sz w:val="22"/>
          <w:szCs w:val="22"/>
        </w:rPr>
        <w:t xml:space="preserve">For this is a book of extraordinary scholarship, with remarkable attention paid to the minutiae of historical lexicography in South Asia, based on which </w:t>
      </w:r>
      <w:proofErr w:type="spellStart"/>
      <w:r w:rsidR="008B3EF3">
        <w:rPr>
          <w:rFonts w:ascii="Cambria" w:hAnsi="Cambria"/>
          <w:sz w:val="22"/>
          <w:szCs w:val="22"/>
        </w:rPr>
        <w:t>Hakala</w:t>
      </w:r>
      <w:proofErr w:type="spellEnd"/>
      <w:r w:rsidR="008B3EF3">
        <w:rPr>
          <w:rFonts w:ascii="Cambria" w:hAnsi="Cambria"/>
          <w:sz w:val="22"/>
          <w:szCs w:val="22"/>
        </w:rPr>
        <w:t xml:space="preserve"> opens up vistas into </w:t>
      </w:r>
      <w:r w:rsidR="00B16E05">
        <w:rPr>
          <w:rFonts w:ascii="Cambria" w:hAnsi="Cambria"/>
          <w:sz w:val="22"/>
          <w:szCs w:val="22"/>
        </w:rPr>
        <w:t>the grand historical narrative of the role that language politics played in inter-religious rivalry and mutually-divergent nationalisms in the modern period.</w:t>
      </w:r>
      <w:r w:rsidR="008013FA">
        <w:rPr>
          <w:rFonts w:ascii="Cambria" w:hAnsi="Cambria"/>
          <w:sz w:val="22"/>
          <w:szCs w:val="22"/>
        </w:rPr>
        <w:t xml:space="preserve"> </w:t>
      </w:r>
      <w:r w:rsidR="000860A6">
        <w:rPr>
          <w:rFonts w:ascii="Cambria" w:hAnsi="Cambria"/>
          <w:sz w:val="22"/>
          <w:szCs w:val="22"/>
        </w:rPr>
        <w:t xml:space="preserve">So, while a work on “dictionaries” or historical lexicography might be expected to appeal only to a quite narrow readership, this is without doubt a volume that should be read and studied by anyone with an interest in </w:t>
      </w:r>
      <w:r w:rsidR="008013FA">
        <w:rPr>
          <w:rFonts w:ascii="Cambria" w:hAnsi="Cambria"/>
          <w:sz w:val="22"/>
          <w:szCs w:val="22"/>
        </w:rPr>
        <w:t>literary creativity, language policy, and community relations</w:t>
      </w:r>
      <w:r w:rsidR="00242CBB">
        <w:rPr>
          <w:rFonts w:ascii="Cambria" w:hAnsi="Cambria"/>
          <w:sz w:val="22"/>
          <w:szCs w:val="22"/>
        </w:rPr>
        <w:t xml:space="preserve"> in South Asia</w:t>
      </w:r>
      <w:r w:rsidR="008013FA">
        <w:rPr>
          <w:rFonts w:ascii="Cambria" w:hAnsi="Cambria"/>
          <w:sz w:val="22"/>
          <w:szCs w:val="22"/>
        </w:rPr>
        <w:t xml:space="preserve"> in any era from the 17</w:t>
      </w:r>
      <w:r w:rsidR="008013FA" w:rsidRPr="008013FA">
        <w:rPr>
          <w:rFonts w:ascii="Cambria" w:hAnsi="Cambria"/>
          <w:sz w:val="22"/>
          <w:szCs w:val="22"/>
          <w:vertAlign w:val="superscript"/>
        </w:rPr>
        <w:t>th</w:t>
      </w:r>
      <w:r w:rsidR="00B2732F">
        <w:rPr>
          <w:rFonts w:ascii="Cambria" w:hAnsi="Cambria"/>
          <w:sz w:val="22"/>
          <w:szCs w:val="22"/>
        </w:rPr>
        <w:t xml:space="preserve"> century to the present day—not just those of us with a perhaps unhealthy interest in etymology and diacritics.</w:t>
      </w:r>
    </w:p>
    <w:p w14:paraId="2CCA90E3" w14:textId="3C05C1CF" w:rsidR="003A4F2D" w:rsidRDefault="00E10630" w:rsidP="00E45154">
      <w:pPr>
        <w:ind w:firstLine="720"/>
        <w:rPr>
          <w:rFonts w:ascii="Cambria" w:hAnsi="Cambria"/>
          <w:sz w:val="22"/>
          <w:szCs w:val="22"/>
        </w:rPr>
      </w:pPr>
      <w:proofErr w:type="spellStart"/>
      <w:r>
        <w:rPr>
          <w:rFonts w:ascii="Cambria" w:hAnsi="Cambria"/>
          <w:sz w:val="22"/>
          <w:szCs w:val="22"/>
        </w:rPr>
        <w:t>Hakala</w:t>
      </w:r>
      <w:proofErr w:type="spellEnd"/>
      <w:r>
        <w:rPr>
          <w:rFonts w:ascii="Cambria" w:hAnsi="Cambria"/>
          <w:sz w:val="22"/>
          <w:szCs w:val="22"/>
        </w:rPr>
        <w:t xml:space="preserve"> takes us through three historical moments—the turns of the 18</w:t>
      </w:r>
      <w:r w:rsidRPr="00E10630">
        <w:rPr>
          <w:rFonts w:ascii="Cambria" w:hAnsi="Cambria"/>
          <w:sz w:val="22"/>
          <w:szCs w:val="22"/>
          <w:vertAlign w:val="superscript"/>
        </w:rPr>
        <w:t>th</w:t>
      </w:r>
      <w:r>
        <w:rPr>
          <w:rFonts w:ascii="Cambria" w:hAnsi="Cambria"/>
          <w:sz w:val="22"/>
          <w:szCs w:val="22"/>
        </w:rPr>
        <w:t>, 19</w:t>
      </w:r>
      <w:r w:rsidRPr="00E10630">
        <w:rPr>
          <w:rFonts w:ascii="Cambria" w:hAnsi="Cambria"/>
          <w:sz w:val="22"/>
          <w:szCs w:val="22"/>
          <w:vertAlign w:val="superscript"/>
        </w:rPr>
        <w:t>th</w:t>
      </w:r>
      <w:r>
        <w:rPr>
          <w:rFonts w:ascii="Cambria" w:hAnsi="Cambria"/>
          <w:sz w:val="22"/>
          <w:szCs w:val="22"/>
        </w:rPr>
        <w:t>, and 20</w:t>
      </w:r>
      <w:r w:rsidRPr="00E10630">
        <w:rPr>
          <w:rFonts w:ascii="Cambria" w:hAnsi="Cambria"/>
          <w:sz w:val="22"/>
          <w:szCs w:val="22"/>
          <w:vertAlign w:val="superscript"/>
        </w:rPr>
        <w:t>th</w:t>
      </w:r>
      <w:r>
        <w:rPr>
          <w:rFonts w:ascii="Cambria" w:hAnsi="Cambria"/>
          <w:sz w:val="22"/>
          <w:szCs w:val="22"/>
        </w:rPr>
        <w:t xml:space="preserve"> centuries—focussing in on four particular lexicographical projects: </w:t>
      </w:r>
      <w:r w:rsidR="009A616C">
        <w:rPr>
          <w:rFonts w:ascii="Cambria" w:hAnsi="Cambria"/>
          <w:sz w:val="22"/>
          <w:szCs w:val="22"/>
        </w:rPr>
        <w:t xml:space="preserve">Abdul </w:t>
      </w:r>
      <w:proofErr w:type="spellStart"/>
      <w:r w:rsidR="009A616C">
        <w:rPr>
          <w:rFonts w:ascii="Cambria" w:hAnsi="Cambria"/>
          <w:sz w:val="22"/>
          <w:szCs w:val="22"/>
        </w:rPr>
        <w:t>Wasi</w:t>
      </w:r>
      <w:proofErr w:type="spellEnd"/>
      <w:r w:rsidR="009A616C">
        <w:rPr>
          <w:rFonts w:ascii="Cambria" w:hAnsi="Cambria"/>
          <w:sz w:val="22"/>
          <w:szCs w:val="22"/>
        </w:rPr>
        <w:t xml:space="preserve"> </w:t>
      </w:r>
      <w:proofErr w:type="spellStart"/>
      <w:r w:rsidR="009A616C">
        <w:rPr>
          <w:rFonts w:ascii="Cambria" w:hAnsi="Cambria"/>
          <w:sz w:val="22"/>
          <w:szCs w:val="22"/>
        </w:rPr>
        <w:t>Hanswi’s</w:t>
      </w:r>
      <w:proofErr w:type="spellEnd"/>
      <w:r w:rsidR="009A616C">
        <w:rPr>
          <w:rFonts w:ascii="Cambria" w:hAnsi="Cambria"/>
          <w:sz w:val="22"/>
          <w:szCs w:val="22"/>
        </w:rPr>
        <w:t xml:space="preserve"> </w:t>
      </w:r>
      <w:r w:rsidR="00481C3B">
        <w:rPr>
          <w:rFonts w:ascii="Cambria" w:hAnsi="Cambria"/>
          <w:sz w:val="22"/>
          <w:szCs w:val="22"/>
        </w:rPr>
        <w:t>late 17</w:t>
      </w:r>
      <w:r w:rsidR="00481C3B" w:rsidRPr="00481C3B">
        <w:rPr>
          <w:rFonts w:ascii="Cambria" w:hAnsi="Cambria"/>
          <w:sz w:val="22"/>
          <w:szCs w:val="22"/>
          <w:vertAlign w:val="superscript"/>
        </w:rPr>
        <w:t>th</w:t>
      </w:r>
      <w:r w:rsidR="00481C3B">
        <w:rPr>
          <w:rFonts w:ascii="Cambria" w:hAnsi="Cambria"/>
          <w:sz w:val="22"/>
          <w:szCs w:val="22"/>
        </w:rPr>
        <w:t xml:space="preserve">-century </w:t>
      </w:r>
      <w:proofErr w:type="spellStart"/>
      <w:r w:rsidR="009A616C">
        <w:rPr>
          <w:rFonts w:ascii="Cambria" w:hAnsi="Cambria"/>
          <w:i/>
          <w:iCs/>
          <w:sz w:val="22"/>
          <w:szCs w:val="22"/>
        </w:rPr>
        <w:t>Gharā’ib</w:t>
      </w:r>
      <w:proofErr w:type="spellEnd"/>
      <w:r w:rsidR="009A616C">
        <w:rPr>
          <w:rFonts w:ascii="Cambria" w:hAnsi="Cambria"/>
          <w:i/>
          <w:iCs/>
          <w:sz w:val="22"/>
          <w:szCs w:val="22"/>
        </w:rPr>
        <w:t xml:space="preserve"> al-</w:t>
      </w:r>
      <w:proofErr w:type="spellStart"/>
      <w:r w:rsidR="009A616C">
        <w:rPr>
          <w:rFonts w:ascii="Cambria" w:hAnsi="Cambria"/>
          <w:i/>
          <w:iCs/>
          <w:sz w:val="22"/>
          <w:szCs w:val="22"/>
        </w:rPr>
        <w:t>Lughāt</w:t>
      </w:r>
      <w:proofErr w:type="spellEnd"/>
      <w:r w:rsidR="00421E91">
        <w:rPr>
          <w:rFonts w:ascii="Cambria" w:hAnsi="Cambria"/>
          <w:sz w:val="22"/>
          <w:szCs w:val="22"/>
        </w:rPr>
        <w:t xml:space="preserve">; the 1792 </w:t>
      </w:r>
      <w:r w:rsidR="00421E91">
        <w:rPr>
          <w:rFonts w:ascii="Cambria" w:hAnsi="Cambria"/>
          <w:i/>
          <w:iCs/>
          <w:sz w:val="22"/>
          <w:szCs w:val="22"/>
        </w:rPr>
        <w:t>Shams al-</w:t>
      </w:r>
      <w:proofErr w:type="spellStart"/>
      <w:r w:rsidR="00421E91">
        <w:rPr>
          <w:rFonts w:ascii="Cambria" w:hAnsi="Cambria"/>
          <w:i/>
          <w:iCs/>
          <w:sz w:val="22"/>
          <w:szCs w:val="22"/>
        </w:rPr>
        <w:t>Bayān</w:t>
      </w:r>
      <w:proofErr w:type="spellEnd"/>
      <w:r w:rsidR="00421E91">
        <w:rPr>
          <w:rFonts w:ascii="Cambria" w:hAnsi="Cambria"/>
          <w:sz w:val="22"/>
          <w:szCs w:val="22"/>
        </w:rPr>
        <w:t xml:space="preserve"> of</w:t>
      </w:r>
      <w:r w:rsidR="009A616C">
        <w:rPr>
          <w:rFonts w:ascii="Cambria" w:hAnsi="Cambria"/>
          <w:sz w:val="22"/>
          <w:szCs w:val="22"/>
        </w:rPr>
        <w:t xml:space="preserve"> </w:t>
      </w:r>
      <w:r w:rsidR="00421E91">
        <w:rPr>
          <w:rFonts w:ascii="Cambria" w:hAnsi="Cambria"/>
          <w:sz w:val="22"/>
          <w:szCs w:val="22"/>
        </w:rPr>
        <w:t>Mirza Jan “</w:t>
      </w:r>
      <w:proofErr w:type="spellStart"/>
      <w:r w:rsidR="00421E91">
        <w:rPr>
          <w:rFonts w:ascii="Cambria" w:hAnsi="Cambria"/>
          <w:sz w:val="22"/>
          <w:szCs w:val="22"/>
        </w:rPr>
        <w:t>Tapish</w:t>
      </w:r>
      <w:proofErr w:type="spellEnd"/>
      <w:r w:rsidR="00421E91">
        <w:rPr>
          <w:rFonts w:ascii="Cambria" w:hAnsi="Cambria"/>
          <w:sz w:val="22"/>
          <w:szCs w:val="22"/>
        </w:rPr>
        <w:t xml:space="preserve">”; </w:t>
      </w:r>
      <w:proofErr w:type="spellStart"/>
      <w:r w:rsidR="00421E91">
        <w:rPr>
          <w:rFonts w:ascii="Cambria" w:hAnsi="Cambria"/>
          <w:sz w:val="22"/>
          <w:szCs w:val="22"/>
        </w:rPr>
        <w:t>Sayyid</w:t>
      </w:r>
      <w:proofErr w:type="spellEnd"/>
      <w:r w:rsidR="00421E91">
        <w:rPr>
          <w:rFonts w:ascii="Cambria" w:hAnsi="Cambria"/>
          <w:sz w:val="22"/>
          <w:szCs w:val="22"/>
        </w:rPr>
        <w:t xml:space="preserve"> Ahmad </w:t>
      </w:r>
      <w:proofErr w:type="spellStart"/>
      <w:r w:rsidR="00421E91">
        <w:rPr>
          <w:rFonts w:ascii="Cambria" w:hAnsi="Cambria"/>
          <w:sz w:val="22"/>
          <w:szCs w:val="22"/>
        </w:rPr>
        <w:t>D</w:t>
      </w:r>
      <w:r w:rsidR="00E45154">
        <w:rPr>
          <w:rFonts w:ascii="Cambria" w:hAnsi="Cambria"/>
          <w:sz w:val="22"/>
          <w:szCs w:val="22"/>
        </w:rPr>
        <w:t>i</w:t>
      </w:r>
      <w:r w:rsidR="00421E91">
        <w:rPr>
          <w:rFonts w:ascii="Cambria" w:hAnsi="Cambria"/>
          <w:sz w:val="22"/>
          <w:szCs w:val="22"/>
        </w:rPr>
        <w:t>hla</w:t>
      </w:r>
      <w:r w:rsidR="00E45154">
        <w:rPr>
          <w:rFonts w:ascii="Cambria" w:hAnsi="Cambria"/>
          <w:sz w:val="22"/>
          <w:szCs w:val="22"/>
        </w:rPr>
        <w:t>w</w:t>
      </w:r>
      <w:r w:rsidR="00421E91">
        <w:rPr>
          <w:rFonts w:ascii="Cambria" w:hAnsi="Cambria"/>
          <w:sz w:val="22"/>
          <w:szCs w:val="22"/>
        </w:rPr>
        <w:t>i’s</w:t>
      </w:r>
      <w:proofErr w:type="spellEnd"/>
      <w:r w:rsidR="00421E91">
        <w:rPr>
          <w:rFonts w:ascii="Cambria" w:hAnsi="Cambria"/>
          <w:sz w:val="22"/>
          <w:szCs w:val="22"/>
        </w:rPr>
        <w:t xml:space="preserve"> </w:t>
      </w:r>
      <w:proofErr w:type="spellStart"/>
      <w:r w:rsidR="00421E91">
        <w:rPr>
          <w:rFonts w:ascii="Cambria" w:hAnsi="Cambria"/>
          <w:i/>
          <w:iCs/>
          <w:sz w:val="22"/>
          <w:szCs w:val="22"/>
        </w:rPr>
        <w:t>Hindūstānī</w:t>
      </w:r>
      <w:proofErr w:type="spellEnd"/>
      <w:r w:rsidR="00421E91">
        <w:rPr>
          <w:rFonts w:ascii="Cambria" w:hAnsi="Cambria"/>
          <w:i/>
          <w:iCs/>
          <w:sz w:val="22"/>
          <w:szCs w:val="22"/>
        </w:rPr>
        <w:t xml:space="preserve"> </w:t>
      </w:r>
      <w:proofErr w:type="spellStart"/>
      <w:r w:rsidR="00421E91">
        <w:rPr>
          <w:rFonts w:ascii="Cambria" w:hAnsi="Cambria"/>
          <w:i/>
          <w:iCs/>
          <w:sz w:val="22"/>
          <w:szCs w:val="22"/>
        </w:rPr>
        <w:t>Urdū</w:t>
      </w:r>
      <w:proofErr w:type="spellEnd"/>
      <w:r w:rsidR="00421E91">
        <w:rPr>
          <w:rFonts w:ascii="Cambria" w:hAnsi="Cambria"/>
          <w:i/>
          <w:iCs/>
          <w:sz w:val="22"/>
          <w:szCs w:val="22"/>
        </w:rPr>
        <w:t xml:space="preserve"> </w:t>
      </w:r>
      <w:proofErr w:type="spellStart"/>
      <w:r w:rsidR="00421E91">
        <w:rPr>
          <w:rFonts w:ascii="Cambria" w:hAnsi="Cambria"/>
          <w:i/>
          <w:iCs/>
          <w:sz w:val="22"/>
          <w:szCs w:val="22"/>
        </w:rPr>
        <w:t>Lughat</w:t>
      </w:r>
      <w:proofErr w:type="spellEnd"/>
      <w:r w:rsidR="00421E91">
        <w:rPr>
          <w:rFonts w:ascii="Cambria" w:hAnsi="Cambria"/>
          <w:sz w:val="22"/>
          <w:szCs w:val="22"/>
        </w:rPr>
        <w:t xml:space="preserve"> of 1888</w:t>
      </w:r>
      <w:r w:rsidR="00C55C7A">
        <w:rPr>
          <w:rFonts w:ascii="Cambria" w:hAnsi="Cambria"/>
          <w:sz w:val="22"/>
          <w:szCs w:val="22"/>
        </w:rPr>
        <w:t xml:space="preserve">–1901; </w:t>
      </w:r>
      <w:r w:rsidR="00730F93">
        <w:rPr>
          <w:rFonts w:ascii="Cambria" w:hAnsi="Cambria"/>
          <w:sz w:val="22"/>
          <w:szCs w:val="22"/>
        </w:rPr>
        <w:t xml:space="preserve">and the 1886 </w:t>
      </w:r>
      <w:proofErr w:type="spellStart"/>
      <w:r w:rsidR="00730F93">
        <w:rPr>
          <w:rFonts w:ascii="Cambria" w:hAnsi="Cambria"/>
          <w:i/>
          <w:iCs/>
          <w:sz w:val="22"/>
          <w:szCs w:val="22"/>
        </w:rPr>
        <w:t>Makhzan</w:t>
      </w:r>
      <w:proofErr w:type="spellEnd"/>
      <w:r w:rsidR="00730F93">
        <w:rPr>
          <w:rFonts w:ascii="Cambria" w:hAnsi="Cambria"/>
          <w:i/>
          <w:iCs/>
          <w:sz w:val="22"/>
          <w:szCs w:val="22"/>
        </w:rPr>
        <w:t xml:space="preserve"> al-</w:t>
      </w:r>
      <w:proofErr w:type="spellStart"/>
      <w:r w:rsidR="00730F93">
        <w:rPr>
          <w:rFonts w:ascii="Cambria" w:hAnsi="Cambria"/>
          <w:i/>
          <w:iCs/>
          <w:sz w:val="22"/>
          <w:szCs w:val="22"/>
        </w:rPr>
        <w:t>Muhāwarat</w:t>
      </w:r>
      <w:proofErr w:type="spellEnd"/>
      <w:r w:rsidR="00730F93">
        <w:rPr>
          <w:rFonts w:ascii="Cambria" w:hAnsi="Cambria"/>
          <w:sz w:val="22"/>
          <w:szCs w:val="22"/>
        </w:rPr>
        <w:t xml:space="preserve"> of </w:t>
      </w:r>
      <w:proofErr w:type="spellStart"/>
      <w:r w:rsidR="00730F93">
        <w:rPr>
          <w:rFonts w:ascii="Cambria" w:hAnsi="Cambria"/>
          <w:sz w:val="22"/>
          <w:szCs w:val="22"/>
        </w:rPr>
        <w:t>Chiranji</w:t>
      </w:r>
      <w:proofErr w:type="spellEnd"/>
      <w:r w:rsidR="00730F93">
        <w:rPr>
          <w:rFonts w:ascii="Cambria" w:hAnsi="Cambria"/>
          <w:sz w:val="22"/>
          <w:szCs w:val="22"/>
        </w:rPr>
        <w:t xml:space="preserve"> Lal.</w:t>
      </w:r>
      <w:r w:rsidR="00745367">
        <w:rPr>
          <w:rFonts w:ascii="Cambria" w:hAnsi="Cambria"/>
          <w:sz w:val="22"/>
          <w:szCs w:val="22"/>
        </w:rPr>
        <w:t xml:space="preserve"> Such a structure </w:t>
      </w:r>
      <w:r w:rsidR="005710B2">
        <w:rPr>
          <w:rFonts w:ascii="Cambria" w:hAnsi="Cambria"/>
          <w:sz w:val="22"/>
          <w:szCs w:val="22"/>
        </w:rPr>
        <w:t>might have resulted in hermetically sealed, disconnected readings, but</w:t>
      </w:r>
      <w:r w:rsidR="00983A56">
        <w:rPr>
          <w:rFonts w:ascii="Cambria" w:hAnsi="Cambria"/>
          <w:sz w:val="22"/>
          <w:szCs w:val="22"/>
        </w:rPr>
        <w:t xml:space="preserve"> even</w:t>
      </w:r>
      <w:r w:rsidR="005710B2">
        <w:rPr>
          <w:rFonts w:ascii="Cambria" w:hAnsi="Cambria"/>
          <w:sz w:val="22"/>
          <w:szCs w:val="22"/>
        </w:rPr>
        <w:t xml:space="preserve"> more impressive than </w:t>
      </w:r>
      <w:proofErr w:type="spellStart"/>
      <w:r w:rsidR="005710B2">
        <w:rPr>
          <w:rFonts w:ascii="Cambria" w:hAnsi="Cambria"/>
          <w:sz w:val="22"/>
          <w:szCs w:val="22"/>
        </w:rPr>
        <w:t>Hakala’s</w:t>
      </w:r>
      <w:proofErr w:type="spellEnd"/>
      <w:r w:rsidR="005710B2">
        <w:rPr>
          <w:rFonts w:ascii="Cambria" w:hAnsi="Cambria"/>
          <w:sz w:val="22"/>
          <w:szCs w:val="22"/>
        </w:rPr>
        <w:t xml:space="preserve"> firm mastery of the sources are the links he draws—between, for instance, </w:t>
      </w:r>
      <w:r w:rsidR="00766A32">
        <w:rPr>
          <w:rFonts w:ascii="Cambria" w:hAnsi="Cambria"/>
          <w:sz w:val="22"/>
          <w:szCs w:val="22"/>
        </w:rPr>
        <w:t>17</w:t>
      </w:r>
      <w:r w:rsidR="00766A32" w:rsidRPr="00766A32">
        <w:rPr>
          <w:rFonts w:ascii="Cambria" w:hAnsi="Cambria"/>
          <w:sz w:val="22"/>
          <w:szCs w:val="22"/>
          <w:vertAlign w:val="superscript"/>
        </w:rPr>
        <w:t>th</w:t>
      </w:r>
      <w:r w:rsidR="00766A32">
        <w:rPr>
          <w:rFonts w:ascii="Cambria" w:hAnsi="Cambria"/>
          <w:sz w:val="22"/>
          <w:szCs w:val="22"/>
        </w:rPr>
        <w:t>-century language “intentionality” and the form</w:t>
      </w:r>
      <w:r w:rsidR="00A878FD">
        <w:rPr>
          <w:rFonts w:ascii="Cambria" w:hAnsi="Cambria"/>
          <w:sz w:val="22"/>
          <w:szCs w:val="22"/>
        </w:rPr>
        <w:t>ul</w:t>
      </w:r>
      <w:r w:rsidR="00766A32">
        <w:rPr>
          <w:rFonts w:ascii="Cambria" w:hAnsi="Cambria"/>
          <w:sz w:val="22"/>
          <w:szCs w:val="22"/>
        </w:rPr>
        <w:t>ation by state-sponsored committee of administrative glossaries in post-Independence India</w:t>
      </w:r>
      <w:r w:rsidR="00242CBB">
        <w:rPr>
          <w:rFonts w:ascii="Cambria" w:hAnsi="Cambria"/>
          <w:sz w:val="22"/>
          <w:szCs w:val="22"/>
        </w:rPr>
        <w:t xml:space="preserve"> </w:t>
      </w:r>
      <w:r w:rsidR="003353C9">
        <w:rPr>
          <w:rFonts w:ascii="Cambria" w:hAnsi="Cambria"/>
          <w:sz w:val="22"/>
          <w:szCs w:val="22"/>
        </w:rPr>
        <w:t>(56–7)</w:t>
      </w:r>
      <w:r w:rsidR="00766A32">
        <w:rPr>
          <w:rFonts w:ascii="Cambria" w:hAnsi="Cambria"/>
          <w:sz w:val="22"/>
          <w:szCs w:val="22"/>
        </w:rPr>
        <w:t>—ensuring that the reader is never tempted to consign the relevance of pre-colonial</w:t>
      </w:r>
      <w:r w:rsidR="00983A56">
        <w:rPr>
          <w:rFonts w:ascii="Cambria" w:hAnsi="Cambria"/>
          <w:sz w:val="22"/>
          <w:szCs w:val="22"/>
        </w:rPr>
        <w:t xml:space="preserve"> or colonial</w:t>
      </w:r>
      <w:r w:rsidR="00766A32">
        <w:rPr>
          <w:rFonts w:ascii="Cambria" w:hAnsi="Cambria"/>
          <w:sz w:val="22"/>
          <w:szCs w:val="22"/>
        </w:rPr>
        <w:t xml:space="preserve"> language work to </w:t>
      </w:r>
      <w:r w:rsidR="00983A56">
        <w:rPr>
          <w:rFonts w:ascii="Cambria" w:hAnsi="Cambria"/>
          <w:sz w:val="22"/>
          <w:szCs w:val="22"/>
        </w:rPr>
        <w:t>one particular</w:t>
      </w:r>
      <w:r w:rsidR="00766A32">
        <w:rPr>
          <w:rFonts w:ascii="Cambria" w:hAnsi="Cambria"/>
          <w:sz w:val="22"/>
          <w:szCs w:val="22"/>
        </w:rPr>
        <w:t xml:space="preserve"> period alone.</w:t>
      </w:r>
      <w:r w:rsidR="00BE7B7E">
        <w:rPr>
          <w:rFonts w:ascii="Cambria" w:hAnsi="Cambria"/>
          <w:sz w:val="22"/>
          <w:szCs w:val="22"/>
        </w:rPr>
        <w:t xml:space="preserve"> Rather, it is such attention to detail that allows him to demonstrate</w:t>
      </w:r>
      <w:r w:rsidR="00A878FD">
        <w:rPr>
          <w:rFonts w:ascii="Cambria" w:hAnsi="Cambria"/>
          <w:sz w:val="22"/>
          <w:szCs w:val="22"/>
        </w:rPr>
        <w:t>, inter alia,</w:t>
      </w:r>
      <w:r w:rsidR="00BE7B7E">
        <w:rPr>
          <w:rFonts w:ascii="Cambria" w:hAnsi="Cambria"/>
          <w:sz w:val="22"/>
          <w:szCs w:val="22"/>
        </w:rPr>
        <w:t xml:space="preserve"> that </w:t>
      </w:r>
      <w:r w:rsidR="002E077D">
        <w:rPr>
          <w:rFonts w:ascii="Cambria" w:hAnsi="Cambria"/>
          <w:sz w:val="22"/>
          <w:szCs w:val="22"/>
        </w:rPr>
        <w:t>“the so-called philological revolution attributed to British ‘Orientalists’” (198) had much longer historical antecedents than</w:t>
      </w:r>
      <w:r w:rsidR="00227EBE">
        <w:rPr>
          <w:rFonts w:ascii="Cambria" w:hAnsi="Cambria"/>
          <w:sz w:val="22"/>
          <w:szCs w:val="22"/>
        </w:rPr>
        <w:t xml:space="preserve"> many</w:t>
      </w:r>
      <w:r w:rsidR="002E077D">
        <w:rPr>
          <w:rFonts w:ascii="Cambria" w:hAnsi="Cambria"/>
          <w:sz w:val="22"/>
          <w:szCs w:val="22"/>
        </w:rPr>
        <w:t xml:space="preserve"> prior studies had appreciated</w:t>
      </w:r>
      <w:r w:rsidR="00227EBE">
        <w:rPr>
          <w:rFonts w:ascii="Cambria" w:hAnsi="Cambria"/>
          <w:sz w:val="22"/>
          <w:szCs w:val="22"/>
        </w:rPr>
        <w:t>—though the colonial intervention was not without its lexicographical consequences</w:t>
      </w:r>
      <w:r w:rsidR="002E077D">
        <w:rPr>
          <w:rFonts w:ascii="Cambria" w:hAnsi="Cambria"/>
          <w:sz w:val="22"/>
          <w:szCs w:val="22"/>
        </w:rPr>
        <w:t>.</w:t>
      </w:r>
    </w:p>
    <w:p w14:paraId="6A9B2225" w14:textId="7996DF91" w:rsidR="00730F93" w:rsidRDefault="00DF1609" w:rsidP="004F46EF">
      <w:pPr>
        <w:ind w:firstLine="720"/>
        <w:rPr>
          <w:rFonts w:ascii="Cambria" w:hAnsi="Cambria"/>
          <w:sz w:val="22"/>
          <w:szCs w:val="22"/>
        </w:rPr>
      </w:pPr>
      <w:r>
        <w:rPr>
          <w:rFonts w:ascii="Cambria" w:hAnsi="Cambria"/>
          <w:sz w:val="22"/>
          <w:szCs w:val="22"/>
        </w:rPr>
        <w:t>The book’s “central premise…is that lexicographical works reflect dominant cosmographies: the means by which a people understand the organisation of the universe about them” (12). This takes on particular importance in the context of shifts in political and power structures, not least that which occurred under colonial and post-Independence nationalisms, the “</w:t>
      </w:r>
      <w:proofErr w:type="spellStart"/>
      <w:r>
        <w:rPr>
          <w:rFonts w:ascii="Cambria" w:hAnsi="Cambria"/>
          <w:sz w:val="22"/>
          <w:szCs w:val="22"/>
        </w:rPr>
        <w:t>monoglot</w:t>
      </w:r>
      <w:proofErr w:type="spellEnd"/>
      <w:r>
        <w:rPr>
          <w:rFonts w:ascii="Cambria" w:hAnsi="Cambria"/>
          <w:sz w:val="22"/>
          <w:szCs w:val="22"/>
        </w:rPr>
        <w:t xml:space="preserve"> ideology” of which “reduces a vast complex of shared cosmographies to a flat orthographic </w:t>
      </w:r>
      <w:proofErr w:type="spellStart"/>
      <w:r>
        <w:rPr>
          <w:rFonts w:ascii="Cambria" w:hAnsi="Cambria"/>
          <w:sz w:val="22"/>
          <w:szCs w:val="22"/>
        </w:rPr>
        <w:t>logocentrism</w:t>
      </w:r>
      <w:proofErr w:type="spellEnd"/>
      <w:r>
        <w:rPr>
          <w:rFonts w:ascii="Cambria" w:hAnsi="Cambria"/>
          <w:sz w:val="22"/>
          <w:szCs w:val="22"/>
        </w:rPr>
        <w:t>” (22).</w:t>
      </w:r>
      <w:r w:rsidR="00821292">
        <w:rPr>
          <w:rFonts w:ascii="Cambria" w:hAnsi="Cambria"/>
          <w:sz w:val="22"/>
          <w:szCs w:val="22"/>
        </w:rPr>
        <w:t xml:space="preserve"> Thus, from the varied fate of </w:t>
      </w:r>
      <w:proofErr w:type="spellStart"/>
      <w:r w:rsidR="00821292">
        <w:rPr>
          <w:rFonts w:ascii="Cambria" w:hAnsi="Cambria"/>
          <w:sz w:val="22"/>
          <w:szCs w:val="22"/>
        </w:rPr>
        <w:t>Hanswi’s</w:t>
      </w:r>
      <w:proofErr w:type="spellEnd"/>
      <w:r w:rsidR="00821292">
        <w:rPr>
          <w:rFonts w:ascii="Cambria" w:hAnsi="Cambria"/>
          <w:sz w:val="22"/>
          <w:szCs w:val="22"/>
        </w:rPr>
        <w:t xml:space="preserve"> work—central to later projects, but derided by his major </w:t>
      </w:r>
      <w:r w:rsidR="002A1580">
        <w:rPr>
          <w:rFonts w:ascii="Cambria" w:hAnsi="Cambria"/>
          <w:sz w:val="22"/>
          <w:szCs w:val="22"/>
        </w:rPr>
        <w:t xml:space="preserve">subsequent interpreter as irredeemably provincial—through the life and work of </w:t>
      </w:r>
      <w:proofErr w:type="spellStart"/>
      <w:r w:rsidR="002A1580">
        <w:rPr>
          <w:rFonts w:ascii="Cambria" w:hAnsi="Cambria"/>
          <w:sz w:val="22"/>
          <w:szCs w:val="22"/>
        </w:rPr>
        <w:t>Tapish</w:t>
      </w:r>
      <w:proofErr w:type="spellEnd"/>
      <w:r w:rsidR="002A1580">
        <w:rPr>
          <w:rFonts w:ascii="Cambria" w:hAnsi="Cambria"/>
          <w:sz w:val="22"/>
          <w:szCs w:val="22"/>
        </w:rPr>
        <w:t xml:space="preserve">, “a product of the </w:t>
      </w:r>
      <w:proofErr w:type="spellStart"/>
      <w:r w:rsidR="002A1580">
        <w:rPr>
          <w:rFonts w:ascii="Cambria" w:hAnsi="Cambria"/>
          <w:sz w:val="22"/>
          <w:szCs w:val="22"/>
        </w:rPr>
        <w:t>ancien</w:t>
      </w:r>
      <w:proofErr w:type="spellEnd"/>
      <w:r w:rsidR="002A1580">
        <w:rPr>
          <w:rFonts w:ascii="Cambria" w:hAnsi="Cambria"/>
          <w:sz w:val="22"/>
          <w:szCs w:val="22"/>
        </w:rPr>
        <w:t xml:space="preserve"> regime and a comprador in the nouvelle” (78)</w:t>
      </w:r>
      <w:r w:rsidR="00E45154">
        <w:rPr>
          <w:rFonts w:ascii="Cambria" w:hAnsi="Cambria"/>
          <w:sz w:val="22"/>
          <w:szCs w:val="22"/>
        </w:rPr>
        <w:t xml:space="preserve">, to the “new era of Urdu lexicography” (115) embodied in </w:t>
      </w:r>
      <w:proofErr w:type="spellStart"/>
      <w:r w:rsidR="00E45154">
        <w:rPr>
          <w:rFonts w:ascii="Cambria" w:hAnsi="Cambria"/>
          <w:sz w:val="22"/>
          <w:szCs w:val="22"/>
        </w:rPr>
        <w:t>Dihlawi’s</w:t>
      </w:r>
      <w:proofErr w:type="spellEnd"/>
      <w:r w:rsidR="00924E55">
        <w:rPr>
          <w:rFonts w:ascii="Cambria" w:hAnsi="Cambria"/>
          <w:sz w:val="22"/>
          <w:szCs w:val="22"/>
        </w:rPr>
        <w:t xml:space="preserve"> </w:t>
      </w:r>
      <w:proofErr w:type="spellStart"/>
      <w:r w:rsidR="00924E55">
        <w:rPr>
          <w:rFonts w:ascii="Cambria" w:hAnsi="Cambria"/>
          <w:i/>
          <w:iCs/>
          <w:sz w:val="22"/>
          <w:szCs w:val="22"/>
        </w:rPr>
        <w:t>Lughat</w:t>
      </w:r>
      <w:proofErr w:type="spellEnd"/>
      <w:r w:rsidR="001A7FFB">
        <w:rPr>
          <w:rFonts w:ascii="Cambria" w:hAnsi="Cambria"/>
          <w:sz w:val="22"/>
          <w:szCs w:val="22"/>
        </w:rPr>
        <w:t xml:space="preserve">, and the close collaboration between </w:t>
      </w:r>
      <w:proofErr w:type="spellStart"/>
      <w:r w:rsidR="00207F5C">
        <w:rPr>
          <w:rFonts w:ascii="Cambria" w:hAnsi="Cambria"/>
          <w:sz w:val="22"/>
          <w:szCs w:val="22"/>
        </w:rPr>
        <w:t>Chiranji</w:t>
      </w:r>
      <w:proofErr w:type="spellEnd"/>
      <w:r w:rsidR="00207F5C">
        <w:rPr>
          <w:rFonts w:ascii="Cambria" w:hAnsi="Cambria"/>
          <w:sz w:val="22"/>
          <w:szCs w:val="22"/>
        </w:rPr>
        <w:t xml:space="preserve"> Lal and colonial administrator-lexicographers, </w:t>
      </w:r>
      <w:proofErr w:type="spellStart"/>
      <w:r w:rsidR="00207F5C">
        <w:rPr>
          <w:rFonts w:ascii="Cambria" w:hAnsi="Cambria"/>
          <w:sz w:val="22"/>
          <w:szCs w:val="22"/>
        </w:rPr>
        <w:t>Hakala</w:t>
      </w:r>
      <w:proofErr w:type="spellEnd"/>
      <w:r w:rsidR="00207F5C">
        <w:rPr>
          <w:rFonts w:ascii="Cambria" w:hAnsi="Cambria"/>
          <w:sz w:val="22"/>
          <w:szCs w:val="22"/>
        </w:rPr>
        <w:t xml:space="preserve"> documents the ebbs and flows of the documentation of language, and the attendant processes of mutual exclusion that saw modern Hindi and Urdu crystallise as discrete components of political and cultural identity formation.</w:t>
      </w:r>
      <w:r w:rsidR="005A324B">
        <w:rPr>
          <w:rFonts w:ascii="Cambria" w:hAnsi="Cambria"/>
          <w:sz w:val="22"/>
          <w:szCs w:val="22"/>
        </w:rPr>
        <w:t xml:space="preserve"> The thesis is compelling, the evidence carefully marshalled, and the detailed readings of these neglected texts thoroughly contextualised in wider literary and linguistic projects, as well as political developments. Any quibbles I might </w:t>
      </w:r>
      <w:r w:rsidR="005A324B">
        <w:rPr>
          <w:rFonts w:ascii="Cambria" w:hAnsi="Cambria"/>
          <w:sz w:val="22"/>
          <w:szCs w:val="22"/>
        </w:rPr>
        <w:lastRenderedPageBreak/>
        <w:t>have are very minor indeed</w:t>
      </w:r>
      <w:r w:rsidR="004F46EF">
        <w:rPr>
          <w:rFonts w:ascii="Cambria" w:hAnsi="Cambria"/>
          <w:sz w:val="22"/>
          <w:szCs w:val="22"/>
        </w:rPr>
        <w:t xml:space="preserve"> (though having to flip back and forth through the book to find the excellent, detailed endnotes is certainly not my idea of fun)</w:t>
      </w:r>
      <w:r w:rsidR="005A324B">
        <w:rPr>
          <w:rFonts w:ascii="Cambria" w:hAnsi="Cambria"/>
          <w:sz w:val="22"/>
          <w:szCs w:val="22"/>
        </w:rPr>
        <w:t>.</w:t>
      </w:r>
    </w:p>
    <w:p w14:paraId="5C79D7C8" w14:textId="77E86C0D" w:rsidR="00730F93" w:rsidRPr="003353C9" w:rsidRDefault="00730F93" w:rsidP="00A878FD">
      <w:pPr>
        <w:ind w:firstLine="720"/>
        <w:rPr>
          <w:rFonts w:ascii="Cambria" w:hAnsi="Cambria"/>
          <w:sz w:val="22"/>
          <w:szCs w:val="22"/>
        </w:rPr>
      </w:pPr>
      <w:r>
        <w:rPr>
          <w:rFonts w:ascii="Cambria" w:hAnsi="Cambria"/>
          <w:sz w:val="22"/>
          <w:szCs w:val="22"/>
        </w:rPr>
        <w:t>Perhaps the most conseq</w:t>
      </w:r>
      <w:r w:rsidR="00DA60E6">
        <w:rPr>
          <w:rFonts w:ascii="Cambria" w:hAnsi="Cambria"/>
          <w:sz w:val="22"/>
          <w:szCs w:val="22"/>
        </w:rPr>
        <w:t xml:space="preserve">uential—though apparently </w:t>
      </w:r>
      <w:r w:rsidR="00227EBE">
        <w:rPr>
          <w:rFonts w:ascii="Cambria" w:hAnsi="Cambria"/>
          <w:sz w:val="22"/>
          <w:szCs w:val="22"/>
        </w:rPr>
        <w:t>not always</w:t>
      </w:r>
      <w:r w:rsidR="00DA60E6">
        <w:rPr>
          <w:rFonts w:ascii="Cambria" w:hAnsi="Cambria"/>
          <w:sz w:val="22"/>
          <w:szCs w:val="22"/>
        </w:rPr>
        <w:t xml:space="preserve"> </w:t>
      </w:r>
      <w:r>
        <w:rPr>
          <w:rFonts w:ascii="Cambria" w:hAnsi="Cambria"/>
          <w:sz w:val="22"/>
          <w:szCs w:val="22"/>
        </w:rPr>
        <w:t xml:space="preserve">well received—of </w:t>
      </w:r>
      <w:proofErr w:type="spellStart"/>
      <w:r>
        <w:rPr>
          <w:rFonts w:ascii="Cambria" w:hAnsi="Cambria"/>
          <w:sz w:val="22"/>
          <w:szCs w:val="22"/>
        </w:rPr>
        <w:t>Hakala’s</w:t>
      </w:r>
      <w:proofErr w:type="spellEnd"/>
      <w:r>
        <w:rPr>
          <w:rFonts w:ascii="Cambria" w:hAnsi="Cambria"/>
          <w:sz w:val="22"/>
          <w:szCs w:val="22"/>
        </w:rPr>
        <w:t xml:space="preserve"> interventions is his insistence on the importance of, shall we say, second-rate and lesser grade works to the history of language use and literary production.</w:t>
      </w:r>
      <w:r w:rsidR="00327120">
        <w:rPr>
          <w:rFonts w:ascii="Cambria" w:hAnsi="Cambria"/>
          <w:sz w:val="22"/>
          <w:szCs w:val="22"/>
        </w:rPr>
        <w:t xml:space="preserve"> If we accept that “an Urdu literary culture developed reflexively in parallel to lexicography” (192)—and </w:t>
      </w:r>
      <w:proofErr w:type="spellStart"/>
      <w:r w:rsidR="00327120">
        <w:rPr>
          <w:rFonts w:ascii="Cambria" w:hAnsi="Cambria"/>
          <w:sz w:val="22"/>
          <w:szCs w:val="22"/>
        </w:rPr>
        <w:t>Hakala</w:t>
      </w:r>
      <w:proofErr w:type="spellEnd"/>
      <w:r w:rsidR="00327120">
        <w:rPr>
          <w:rFonts w:ascii="Cambria" w:hAnsi="Cambria"/>
          <w:sz w:val="22"/>
          <w:szCs w:val="22"/>
        </w:rPr>
        <w:t xml:space="preserve"> strongly suggests we should—we must bend our necks, move beyond the stubborn intransigence of those who consider literature a treasure house stocked only with the best and the “greats”, and move to consider the non-canonical, the quotidian,</w:t>
      </w:r>
      <w:r w:rsidR="00F42423">
        <w:rPr>
          <w:rFonts w:ascii="Cambria" w:hAnsi="Cambria"/>
          <w:sz w:val="22"/>
          <w:szCs w:val="22"/>
        </w:rPr>
        <w:t xml:space="preserve"> even the popular,</w:t>
      </w:r>
      <w:r w:rsidR="00327120">
        <w:rPr>
          <w:rFonts w:ascii="Cambria" w:hAnsi="Cambria"/>
          <w:sz w:val="22"/>
          <w:szCs w:val="22"/>
        </w:rPr>
        <w:t xml:space="preserve"> and the production and consumption of literature </w:t>
      </w:r>
      <w:r w:rsidR="00F42423">
        <w:rPr>
          <w:rFonts w:ascii="Cambria" w:hAnsi="Cambria"/>
          <w:sz w:val="22"/>
          <w:szCs w:val="22"/>
        </w:rPr>
        <w:t xml:space="preserve">and its meanings </w:t>
      </w:r>
      <w:r w:rsidR="00327120">
        <w:rPr>
          <w:rFonts w:ascii="Cambria" w:hAnsi="Cambria"/>
          <w:sz w:val="22"/>
          <w:szCs w:val="22"/>
        </w:rPr>
        <w:t>beyond the</w:t>
      </w:r>
      <w:r w:rsidR="00F42423">
        <w:rPr>
          <w:rFonts w:ascii="Cambria" w:hAnsi="Cambria"/>
          <w:sz w:val="22"/>
          <w:szCs w:val="22"/>
        </w:rPr>
        <w:t xml:space="preserve"> elite and canonical,</w:t>
      </w:r>
      <w:r w:rsidR="00327120">
        <w:rPr>
          <w:rFonts w:ascii="Cambria" w:hAnsi="Cambria"/>
          <w:sz w:val="22"/>
          <w:szCs w:val="22"/>
        </w:rPr>
        <w:t xml:space="preserve"> </w:t>
      </w:r>
      <w:r w:rsidR="007C7EAD">
        <w:rPr>
          <w:rFonts w:ascii="Cambria" w:hAnsi="Cambria"/>
          <w:sz w:val="22"/>
          <w:szCs w:val="22"/>
        </w:rPr>
        <w:t xml:space="preserve">rarefied and reified. </w:t>
      </w:r>
      <w:r w:rsidR="00242CBB">
        <w:rPr>
          <w:rFonts w:ascii="Cambria" w:hAnsi="Cambria"/>
          <w:sz w:val="22"/>
          <w:szCs w:val="22"/>
        </w:rPr>
        <w:t>This volume</w:t>
      </w:r>
      <w:r w:rsidR="007C7EAD">
        <w:rPr>
          <w:rFonts w:ascii="Cambria" w:hAnsi="Cambria"/>
          <w:sz w:val="22"/>
          <w:szCs w:val="22"/>
        </w:rPr>
        <w:t xml:space="preserve"> is in some ways an important corrective to this tendency</w:t>
      </w:r>
      <w:r w:rsidR="00A878FD">
        <w:rPr>
          <w:rFonts w:ascii="Cambria" w:hAnsi="Cambria"/>
          <w:sz w:val="22"/>
          <w:szCs w:val="22"/>
        </w:rPr>
        <w:t>—</w:t>
      </w:r>
      <w:r w:rsidR="00F42423">
        <w:rPr>
          <w:rFonts w:ascii="Cambria" w:hAnsi="Cambria"/>
          <w:sz w:val="22"/>
          <w:szCs w:val="22"/>
        </w:rPr>
        <w:t>hardly unique to Urdu literary scholarship</w:t>
      </w:r>
      <w:r w:rsidR="00A878FD">
        <w:rPr>
          <w:rFonts w:ascii="Cambria" w:hAnsi="Cambria"/>
          <w:sz w:val="22"/>
          <w:szCs w:val="22"/>
        </w:rPr>
        <w:t xml:space="preserve">—and </w:t>
      </w:r>
      <w:r w:rsidR="00DA60E6">
        <w:rPr>
          <w:rFonts w:ascii="Cambria" w:hAnsi="Cambria"/>
          <w:sz w:val="22"/>
          <w:szCs w:val="22"/>
        </w:rPr>
        <w:t>particularly appropriate as lexicography enters online, interactive domains in the 21</w:t>
      </w:r>
      <w:r w:rsidR="00DA60E6" w:rsidRPr="00DA60E6">
        <w:rPr>
          <w:rFonts w:ascii="Cambria" w:hAnsi="Cambria"/>
          <w:sz w:val="22"/>
          <w:szCs w:val="22"/>
          <w:vertAlign w:val="superscript"/>
        </w:rPr>
        <w:t>st</w:t>
      </w:r>
      <w:r w:rsidR="00DA60E6">
        <w:rPr>
          <w:rFonts w:ascii="Cambria" w:hAnsi="Cambria"/>
          <w:sz w:val="22"/>
          <w:szCs w:val="22"/>
        </w:rPr>
        <w:t xml:space="preserve"> century</w:t>
      </w:r>
      <w:r w:rsidR="003353C9">
        <w:rPr>
          <w:rFonts w:ascii="Cambria" w:hAnsi="Cambria"/>
          <w:sz w:val="22"/>
          <w:szCs w:val="22"/>
        </w:rPr>
        <w:t xml:space="preserve"> (199–200)</w:t>
      </w:r>
      <w:r w:rsidR="00DA60E6">
        <w:rPr>
          <w:rFonts w:ascii="Cambria" w:hAnsi="Cambria"/>
          <w:sz w:val="22"/>
          <w:szCs w:val="22"/>
        </w:rPr>
        <w:t>.</w:t>
      </w:r>
      <w:r w:rsidR="002A46B8">
        <w:rPr>
          <w:rFonts w:ascii="Cambria" w:hAnsi="Cambria"/>
          <w:sz w:val="22"/>
          <w:szCs w:val="22"/>
        </w:rPr>
        <w:t xml:space="preserve"> Even here, however, </w:t>
      </w:r>
      <w:proofErr w:type="spellStart"/>
      <w:r w:rsidR="002A46B8">
        <w:rPr>
          <w:rFonts w:ascii="Cambria" w:hAnsi="Cambria"/>
          <w:sz w:val="22"/>
          <w:szCs w:val="22"/>
        </w:rPr>
        <w:t>Hakala</w:t>
      </w:r>
      <w:proofErr w:type="spellEnd"/>
      <w:r w:rsidR="00EE0D90">
        <w:rPr>
          <w:rFonts w:ascii="Cambria" w:hAnsi="Cambria"/>
          <w:sz w:val="22"/>
          <w:szCs w:val="22"/>
        </w:rPr>
        <w:t xml:space="preserve"> provides a South Asian precedent to </w:t>
      </w:r>
      <w:r w:rsidR="004061DB">
        <w:rPr>
          <w:rFonts w:ascii="Cambria" w:hAnsi="Cambria"/>
          <w:sz w:val="22"/>
          <w:szCs w:val="22"/>
        </w:rPr>
        <w:t>a kind of crowd-sourced lexicography in H. H. Wilson’s mid-19</w:t>
      </w:r>
      <w:r w:rsidR="004061DB" w:rsidRPr="004061DB">
        <w:rPr>
          <w:rFonts w:ascii="Cambria" w:hAnsi="Cambria"/>
          <w:sz w:val="22"/>
          <w:szCs w:val="22"/>
          <w:vertAlign w:val="superscript"/>
        </w:rPr>
        <w:t>th</w:t>
      </w:r>
      <w:r w:rsidR="004061DB">
        <w:rPr>
          <w:rFonts w:ascii="Cambria" w:hAnsi="Cambria"/>
          <w:sz w:val="22"/>
          <w:szCs w:val="22"/>
        </w:rPr>
        <w:t>-century glossary, the failure of which seemed, in his own words, “far from creditable to the</w:t>
      </w:r>
      <w:r w:rsidR="00EC5AC0">
        <w:rPr>
          <w:rFonts w:ascii="Cambria" w:hAnsi="Cambria"/>
          <w:sz w:val="22"/>
          <w:szCs w:val="22"/>
        </w:rPr>
        <w:t xml:space="preserve"> public zeal and </w:t>
      </w:r>
      <w:r w:rsidR="004061DB">
        <w:rPr>
          <w:rFonts w:ascii="Cambria" w:hAnsi="Cambria"/>
          <w:sz w:val="22"/>
          <w:szCs w:val="22"/>
        </w:rPr>
        <w:t>philological proficiency of the East-India Company’s Civil Service” (65).</w:t>
      </w:r>
      <w:r w:rsidR="003353C9">
        <w:rPr>
          <w:rFonts w:ascii="Cambria" w:hAnsi="Cambria"/>
          <w:sz w:val="22"/>
          <w:szCs w:val="22"/>
        </w:rPr>
        <w:t xml:space="preserve"> If the balance between public interest and proficiency is a hard one to strike in such cases, it is certainly not so in </w:t>
      </w:r>
      <w:r w:rsidR="003353C9">
        <w:rPr>
          <w:rFonts w:ascii="Cambria" w:hAnsi="Cambria"/>
          <w:i/>
          <w:iCs/>
          <w:sz w:val="22"/>
          <w:szCs w:val="22"/>
        </w:rPr>
        <w:t>Negotiating Languages</w:t>
      </w:r>
      <w:r w:rsidR="003353C9">
        <w:rPr>
          <w:rFonts w:ascii="Cambria" w:hAnsi="Cambria"/>
          <w:sz w:val="22"/>
          <w:szCs w:val="22"/>
        </w:rPr>
        <w:t>.</w:t>
      </w:r>
    </w:p>
    <w:sectPr w:rsidR="00730F93" w:rsidRPr="003353C9" w:rsidSect="00367C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44"/>
    <w:rsid w:val="000860A6"/>
    <w:rsid w:val="000A66FC"/>
    <w:rsid w:val="000B7ADA"/>
    <w:rsid w:val="001A1094"/>
    <w:rsid w:val="001A7FFB"/>
    <w:rsid w:val="001E51FC"/>
    <w:rsid w:val="00207F5C"/>
    <w:rsid w:val="00227EBE"/>
    <w:rsid w:val="00242CBB"/>
    <w:rsid w:val="002A1580"/>
    <w:rsid w:val="002A46B8"/>
    <w:rsid w:val="002E077D"/>
    <w:rsid w:val="00327120"/>
    <w:rsid w:val="003353C9"/>
    <w:rsid w:val="00367C68"/>
    <w:rsid w:val="003A4F2D"/>
    <w:rsid w:val="004061DB"/>
    <w:rsid w:val="00421E91"/>
    <w:rsid w:val="00481C3B"/>
    <w:rsid w:val="004964EF"/>
    <w:rsid w:val="004F46EF"/>
    <w:rsid w:val="005710B2"/>
    <w:rsid w:val="005A2DB4"/>
    <w:rsid w:val="005A324B"/>
    <w:rsid w:val="00657363"/>
    <w:rsid w:val="00730F93"/>
    <w:rsid w:val="00744459"/>
    <w:rsid w:val="00745367"/>
    <w:rsid w:val="007522ED"/>
    <w:rsid w:val="00766A32"/>
    <w:rsid w:val="00796A44"/>
    <w:rsid w:val="00797F80"/>
    <w:rsid w:val="007B735F"/>
    <w:rsid w:val="007C7EAD"/>
    <w:rsid w:val="008013FA"/>
    <w:rsid w:val="00821292"/>
    <w:rsid w:val="0083688D"/>
    <w:rsid w:val="008B3EF3"/>
    <w:rsid w:val="00924E55"/>
    <w:rsid w:val="00983A56"/>
    <w:rsid w:val="009A616C"/>
    <w:rsid w:val="00A220D6"/>
    <w:rsid w:val="00A878FD"/>
    <w:rsid w:val="00AD2AC4"/>
    <w:rsid w:val="00B16E05"/>
    <w:rsid w:val="00B2732F"/>
    <w:rsid w:val="00B44233"/>
    <w:rsid w:val="00BE7B7E"/>
    <w:rsid w:val="00C55C7A"/>
    <w:rsid w:val="00CE7C71"/>
    <w:rsid w:val="00DA60E6"/>
    <w:rsid w:val="00DC1BB7"/>
    <w:rsid w:val="00DE1CD6"/>
    <w:rsid w:val="00DF1609"/>
    <w:rsid w:val="00E10630"/>
    <w:rsid w:val="00E15FB0"/>
    <w:rsid w:val="00E45154"/>
    <w:rsid w:val="00EC0345"/>
    <w:rsid w:val="00EC5AC0"/>
    <w:rsid w:val="00EE0D90"/>
    <w:rsid w:val="00F32A2F"/>
    <w:rsid w:val="00F4242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9E75A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9727">
      <w:bodyDiv w:val="1"/>
      <w:marLeft w:val="0"/>
      <w:marRight w:val="0"/>
      <w:marTop w:val="0"/>
      <w:marBottom w:val="0"/>
      <w:divBdr>
        <w:top w:val="none" w:sz="0" w:space="0" w:color="auto"/>
        <w:left w:val="none" w:sz="0" w:space="0" w:color="auto"/>
        <w:bottom w:val="none" w:sz="0" w:space="0" w:color="auto"/>
        <w:right w:val="none" w:sz="0" w:space="0" w:color="auto"/>
      </w:divBdr>
    </w:div>
    <w:div w:id="1157695059">
      <w:bodyDiv w:val="1"/>
      <w:marLeft w:val="0"/>
      <w:marRight w:val="0"/>
      <w:marTop w:val="0"/>
      <w:marBottom w:val="0"/>
      <w:divBdr>
        <w:top w:val="none" w:sz="0" w:space="0" w:color="auto"/>
        <w:left w:val="none" w:sz="0" w:space="0" w:color="auto"/>
        <w:bottom w:val="none" w:sz="0" w:space="0" w:color="auto"/>
        <w:right w:val="none" w:sz="0" w:space="0" w:color="auto"/>
      </w:divBdr>
    </w:div>
    <w:div w:id="1479109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898</Words>
  <Characters>5123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Lunn</dc:creator>
  <cp:keywords/>
  <dc:description/>
  <cp:lastModifiedBy>David Lunn</cp:lastModifiedBy>
  <cp:revision>16</cp:revision>
  <dcterms:created xsi:type="dcterms:W3CDTF">2017-07-11T15:48:00Z</dcterms:created>
  <dcterms:modified xsi:type="dcterms:W3CDTF">2017-07-18T14:46:00Z</dcterms:modified>
</cp:coreProperties>
</file>